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1D382" w14:textId="77777777" w:rsidR="00A306E3" w:rsidRDefault="00B6545A">
      <w:pPr>
        <w:spacing w:after="115" w:line="259" w:lineRule="auto"/>
        <w:ind w:left="0" w:right="0" w:firstLine="0"/>
        <w:jc w:val="left"/>
      </w:pPr>
      <w:r>
        <w:rPr>
          <w:b/>
          <w:u w:val="single" w:color="000000"/>
        </w:rPr>
        <w:t>ALEGATO</w:t>
      </w:r>
      <w:r>
        <w:rPr>
          <w:b/>
        </w:rPr>
        <w:t xml:space="preserve"> </w:t>
      </w:r>
    </w:p>
    <w:p w14:paraId="635C1DC8" w14:textId="77777777" w:rsidR="00A306E3" w:rsidRDefault="00B6545A">
      <w:pPr>
        <w:spacing w:after="112" w:line="259" w:lineRule="auto"/>
        <w:ind w:left="0" w:right="0" w:firstLine="0"/>
        <w:jc w:val="left"/>
      </w:pPr>
      <w:r>
        <w:rPr>
          <w:b/>
        </w:rPr>
        <w:t xml:space="preserve"> </w:t>
      </w:r>
    </w:p>
    <w:p w14:paraId="5FEF6FA6" w14:textId="77777777" w:rsidR="00A306E3" w:rsidRDefault="00B6545A">
      <w:pPr>
        <w:spacing w:after="112" w:line="259" w:lineRule="auto"/>
        <w:ind w:left="-5" w:right="0"/>
        <w:jc w:val="left"/>
      </w:pPr>
      <w:r>
        <w:rPr>
          <w:b/>
        </w:rPr>
        <w:t xml:space="preserve">EXCMA. CORTE DE JUSTICIA </w:t>
      </w:r>
    </w:p>
    <w:p w14:paraId="7F9B2604" w14:textId="77777777" w:rsidR="00A306E3" w:rsidRDefault="00B6545A">
      <w:pPr>
        <w:spacing w:after="112" w:line="259" w:lineRule="auto"/>
        <w:ind w:left="2835" w:right="0" w:firstLine="0"/>
        <w:jc w:val="left"/>
      </w:pPr>
      <w:r>
        <w:t xml:space="preserve"> </w:t>
      </w:r>
    </w:p>
    <w:p w14:paraId="7E0E6B2C" w14:textId="77777777" w:rsidR="00A306E3" w:rsidRDefault="00B6545A">
      <w:pPr>
        <w:pStyle w:val="Ttulo1"/>
        <w:ind w:left="2845"/>
      </w:pPr>
      <w:r>
        <w:t>NALDO MARTIN GONZÁLEZ</w:t>
      </w:r>
      <w:r>
        <w:rPr>
          <w:b w:val="0"/>
        </w:rPr>
        <w:t xml:space="preserve">, abogado apoderado </w:t>
      </w:r>
    </w:p>
    <w:p w14:paraId="0A3283A1" w14:textId="77777777" w:rsidR="00A306E3" w:rsidRPr="00680FA9" w:rsidRDefault="00B6545A">
      <w:pPr>
        <w:ind w:left="-5" w:right="-8"/>
        <w:rPr>
          <w:highlight w:val="black"/>
        </w:rPr>
      </w:pPr>
      <w:r>
        <w:t xml:space="preserve">de la </w:t>
      </w:r>
      <w:r>
        <w:rPr>
          <w:b/>
        </w:rPr>
        <w:t>MUNICIPALIDAD DE LA CIUDAD DE SALTA</w:t>
      </w:r>
      <w:r>
        <w:t xml:space="preserve">, manteniendo domicilio legal y procesal en Av. Paraguay N° 1240 de esta Ciudad y electrónico 2313, en los autos caratulados: </w:t>
      </w:r>
      <w:r>
        <w:rPr>
          <w:b/>
        </w:rPr>
        <w:t>“</w:t>
      </w:r>
      <w:r w:rsidRPr="00680FA9">
        <w:rPr>
          <w:b/>
          <w:highlight w:val="black"/>
        </w:rPr>
        <w:t xml:space="preserve">GUERRERO, ANIBAL JOSE MARIA; MAMANI, FERNANDO; VASO, GERARDO; CRUZ, JOSE EMANUEL; MAMANI, </w:t>
      </w:r>
    </w:p>
    <w:p w14:paraId="4EF068B7" w14:textId="77777777" w:rsidR="00A306E3" w:rsidRDefault="00B6545A">
      <w:pPr>
        <w:pStyle w:val="Ttulo1"/>
        <w:spacing w:after="19" w:line="356" w:lineRule="auto"/>
        <w:ind w:left="-5"/>
      </w:pPr>
      <w:r w:rsidRPr="00680FA9">
        <w:rPr>
          <w:highlight w:val="black"/>
        </w:rPr>
        <w:t>MARIELA ELIZABETH; TORRES, RAMON BERNARDINO; ANGELO, JUAN CARLOS; LANG, PATRICIA</w:t>
      </w:r>
      <w:r>
        <w:t xml:space="preserve"> POR ACCIÓN POPULAR DE </w:t>
      </w:r>
    </w:p>
    <w:p w14:paraId="77EE1B47" w14:textId="77777777" w:rsidR="00A306E3" w:rsidRDefault="00B6545A">
      <w:pPr>
        <w:ind w:left="-5" w:right="-8"/>
      </w:pPr>
      <w:r>
        <w:rPr>
          <w:b/>
        </w:rPr>
        <w:t>INCONSTITUCIONALIDAD”</w:t>
      </w:r>
      <w:r>
        <w:t xml:space="preserve"> – Expte. N° 920.019/25 a V.E. respetuosamente digo:  </w:t>
      </w:r>
    </w:p>
    <w:p w14:paraId="04997B17" w14:textId="77777777" w:rsidR="00A306E3" w:rsidRDefault="00B6545A">
      <w:pPr>
        <w:spacing w:after="112" w:line="259" w:lineRule="auto"/>
        <w:ind w:left="2835" w:right="0" w:firstLine="0"/>
        <w:jc w:val="left"/>
      </w:pPr>
      <w:r>
        <w:t xml:space="preserve"> </w:t>
      </w:r>
    </w:p>
    <w:p w14:paraId="0F13E46B" w14:textId="77777777" w:rsidR="00A306E3" w:rsidRDefault="00B6545A">
      <w:pPr>
        <w:spacing w:after="115" w:line="259" w:lineRule="auto"/>
        <w:ind w:left="2845" w:right="-8"/>
      </w:pPr>
      <w:r>
        <w:rPr>
          <w:b/>
        </w:rPr>
        <w:t>I.- OBJETO:</w:t>
      </w:r>
      <w:r>
        <w:t xml:space="preserve"> Que, vengo a formular alegato de bien </w:t>
      </w:r>
    </w:p>
    <w:p w14:paraId="092EA628" w14:textId="77777777" w:rsidR="00A306E3" w:rsidRDefault="00B6545A">
      <w:pPr>
        <w:ind w:left="-5" w:right="-8"/>
      </w:pPr>
      <w:r>
        <w:t xml:space="preserve">probado respecto de las cuestiones jurídicas y prueba ofrecida en autos, ratificando la constitucionalidad de la Ordenanza Municipal N°16.377, ello conforme a los términos que se exponen seguidamente. </w:t>
      </w:r>
    </w:p>
    <w:p w14:paraId="5DA8F25E" w14:textId="77777777" w:rsidR="00A306E3" w:rsidRDefault="00B6545A">
      <w:pPr>
        <w:spacing w:after="120" w:line="259" w:lineRule="auto"/>
        <w:ind w:left="2835" w:right="0" w:firstLine="0"/>
        <w:jc w:val="left"/>
      </w:pPr>
      <w:r>
        <w:t xml:space="preserve"> </w:t>
      </w:r>
    </w:p>
    <w:p w14:paraId="3566F5F0" w14:textId="77777777" w:rsidR="00A306E3" w:rsidRDefault="00B6545A">
      <w:pPr>
        <w:spacing w:after="111" w:line="259" w:lineRule="auto"/>
        <w:ind w:left="856" w:right="0"/>
        <w:jc w:val="center"/>
      </w:pPr>
      <w:r>
        <w:rPr>
          <w:b/>
        </w:rPr>
        <w:t xml:space="preserve">II.- CUESTIONES JURÍDICAS: </w:t>
      </w:r>
    </w:p>
    <w:p w14:paraId="49F5C058" w14:textId="77777777" w:rsidR="00A306E3" w:rsidRDefault="00B6545A">
      <w:pPr>
        <w:spacing w:after="111" w:line="259" w:lineRule="auto"/>
        <w:ind w:left="856" w:right="99"/>
        <w:jc w:val="center"/>
      </w:pPr>
      <w:r>
        <w:rPr>
          <w:b/>
        </w:rPr>
        <w:t xml:space="preserve">CLÁUSULA DEL PROGRESO </w:t>
      </w:r>
    </w:p>
    <w:p w14:paraId="73E0C6BC" w14:textId="77777777" w:rsidR="00A306E3" w:rsidRDefault="00B6545A">
      <w:pPr>
        <w:spacing w:after="112" w:line="259" w:lineRule="auto"/>
        <w:ind w:left="2845" w:right="-8"/>
      </w:pPr>
      <w:r>
        <w:t xml:space="preserve">Resulta incorrecta la aseveración de la actora de que la </w:t>
      </w:r>
    </w:p>
    <w:p w14:paraId="1135012D" w14:textId="77777777" w:rsidR="00A306E3" w:rsidRDefault="00B6545A">
      <w:pPr>
        <w:ind w:left="-5" w:right="-8"/>
      </w:pPr>
      <w:r>
        <w:t xml:space="preserve">norma sea contraria a los principios y disposiciones de la Constitución Nacional, por cuanto el artículo 75° incs. 18 y 19 tiene previsto expresamente la cláusula del progreso. cuyas partes pertinentes expresan a tenor de la cuestión traída a debate que: </w:t>
      </w:r>
    </w:p>
    <w:p w14:paraId="397ADDF6" w14:textId="77777777" w:rsidR="00A306E3" w:rsidRDefault="00B6545A">
      <w:pPr>
        <w:spacing w:line="368" w:lineRule="auto"/>
        <w:ind w:left="-5" w:right="0"/>
      </w:pPr>
      <w:r>
        <w:rPr>
          <w:i/>
        </w:rPr>
        <w:t xml:space="preserve">“Corresponde al Congreso (…) 18. Proveer lo conducente a la prosperidad del país, al adelanto y bienestar de todas las provincias (…) 19. Proveer lo conducente al desarrollo humano, al progreso económico con justicia social, a la productividad de la economía nacional, a la generación de empleo (…) Proveer al crecimiento armónico de la Nación y al poblamiento de su territorio; promover políticas diferenciadas que tiendan a equilibrar el desigual desarrollo relativo de provincias y regiones (…)”.  </w:t>
      </w:r>
      <w:r>
        <w:t xml:space="preserve">De esta manera, la Ordenanza N° 16.377 reglamenta una actividad que necesitaba del marco normativo apropiado, ello en consonancia con los avances tecnológicos y necesidades de la sociedad.  </w:t>
      </w:r>
    </w:p>
    <w:p w14:paraId="39A1EC33" w14:textId="77777777" w:rsidR="00A306E3" w:rsidRDefault="00B6545A">
      <w:pPr>
        <w:spacing w:after="114" w:line="259" w:lineRule="auto"/>
        <w:ind w:right="-6"/>
        <w:jc w:val="right"/>
      </w:pPr>
      <w:r>
        <w:t xml:space="preserve">Cada vez son más las provincias que cuentan con el </w:t>
      </w:r>
    </w:p>
    <w:p w14:paraId="13EF4575" w14:textId="77777777" w:rsidR="00A306E3" w:rsidRDefault="00B6545A">
      <w:pPr>
        <w:ind w:left="-5" w:right="-8"/>
      </w:pPr>
      <w:r>
        <w:t xml:space="preserve">servicio de movilidad de plataformas digitales, por lo que, al contrario de los dichos de la actora, el Concejo Deliberante ha entendido que ameritaba regular jurídicamente la cuestión. Por su parte, respecto de iguales fundamentos vertidos sobre la Constitución Provincial, en igual sentido tiene dispuesto la Ley fundamental salteña cuando establece: </w:t>
      </w:r>
      <w:r>
        <w:rPr>
          <w:i/>
        </w:rPr>
        <w:t xml:space="preserve">“Artículo 43: La Provincia reconoce al trabajo como la fuente genuina del progreso y bienestar de todos sus habitantes. A través de él las personas manifiestan su capacidad creadora…” </w:t>
      </w:r>
      <w:r>
        <w:t xml:space="preserve">y </w:t>
      </w:r>
      <w:r>
        <w:rPr>
          <w:i/>
        </w:rPr>
        <w:t>“Artículo 71: ACTIVIDAD ECONÓMICA. DISTRIBUCIÓN DE LA RIQUEZA. La actividad económica se orienta al servicio del hombre y al progreso de la comunidad. La iniciativa económica privada es libre”.</w:t>
      </w:r>
      <w:r>
        <w:t xml:space="preserve"> ¿Cómo puede pensarse siquiera en la posibilidad de que la ciudad capitalina de una de las provincias más importantes del norte argentino, le sean vedadas las posibilidades de crecimiento sostenido de su suelo y de su gente? No es menor que en municipios de países limítrofes como Río de Janeiro - Brasil- el debate que aquí nos convoca sea una cuestión zanjada desde hace largo tiempo, al punto tal de que, en aeropuertos y terminales de colectivos ya existen zonas diferenciadas claramente demarcadas, puestas a disposición para que el servicio que brindan por medio de estas plataformas sea prestado en forma libre y segura. </w:t>
      </w:r>
    </w:p>
    <w:p w14:paraId="5D4866AE" w14:textId="77777777" w:rsidR="00A306E3" w:rsidRDefault="00B6545A">
      <w:pPr>
        <w:spacing w:after="114" w:line="259" w:lineRule="auto"/>
        <w:ind w:right="-6"/>
        <w:jc w:val="right"/>
      </w:pPr>
      <w:r>
        <w:t xml:space="preserve">Más adelante menciona la actora que habría normas de </w:t>
      </w:r>
    </w:p>
    <w:p w14:paraId="3D97FE7F" w14:textId="77777777" w:rsidR="00A306E3" w:rsidRDefault="00B6545A">
      <w:pPr>
        <w:spacing w:line="368" w:lineRule="auto"/>
        <w:ind w:left="-5" w:right="0"/>
      </w:pPr>
      <w:r>
        <w:t xml:space="preserve">mayor jerarquía también vulneradas. Sin perjuicio de que no existen normas de mayor jerarquía que la Constitución Nacional, sino en todo caso de igual jerarquía, ya ha dicho la jurisprudencia que la tacha de inconstitucionalidad de una norma debe ser de última ratio: </w:t>
      </w:r>
      <w:r>
        <w:rPr>
          <w:i/>
        </w:rPr>
        <w:t xml:space="preserve">“la declaración de inconstitucionalidad de una disposición legal constituye la más delicada de las funciones susceptibles de encomendarse a un tribunal de justicia, por configurar un acto de suma gravedad institucional que debe ser considerado como última ratio del orden jurídico, por lo que no debe recurrirse a ella sino cuando una estricta necesidad lo requiera (Fallos: otros) 249:51; 264:364; 288:325; 328:1416, entre muchos” </w:t>
      </w:r>
      <w:r>
        <w:t xml:space="preserve">(CSJN: 339:323). </w:t>
      </w:r>
    </w:p>
    <w:p w14:paraId="0B0B2D73" w14:textId="77777777" w:rsidR="00A306E3" w:rsidRDefault="00B6545A">
      <w:pPr>
        <w:spacing w:after="114" w:line="259" w:lineRule="auto"/>
        <w:ind w:right="-6"/>
        <w:jc w:val="right"/>
      </w:pPr>
      <w:r>
        <w:t xml:space="preserve">Sostiene asimismo la actora, sin explicar razones, que se </w:t>
      </w:r>
    </w:p>
    <w:p w14:paraId="46DB4A0D" w14:textId="77777777" w:rsidR="00A306E3" w:rsidRDefault="00B6545A">
      <w:pPr>
        <w:ind w:left="-5" w:right="-8"/>
      </w:pPr>
      <w:r>
        <w:t>estaría afectando el interés público. La noción de este concepto ha ido variando conforme el paso de los años, no siendo la misma acepción la de hoy en día que la de hace cincuenta años, pero ha expresado la doctrina administrativista respecto de ello: primero que no debe confundirse con la noción de “servicio público”, y segundo que</w:t>
      </w:r>
      <w:r>
        <w:rPr>
          <w:i/>
        </w:rPr>
        <w:t xml:space="preserve"> “</w:t>
      </w:r>
      <w:r>
        <w:rPr>
          <w:b/>
          <w:i/>
        </w:rPr>
        <w:t>Hay interés público en los servicios de transporte</w:t>
      </w:r>
      <w:r>
        <w:rPr>
          <w:i/>
        </w:rPr>
        <w:t xml:space="preserve">, correos, teléfonos, electricidad, </w:t>
      </w:r>
      <w:r>
        <w:rPr>
          <w:b/>
          <w:i/>
        </w:rPr>
        <w:t>porque en definitiva cada individuo de una mayoría de habitantes tiene un interés personal y directo en viajar</w:t>
      </w:r>
      <w:r>
        <w:rPr>
          <w:i/>
        </w:rPr>
        <w:t xml:space="preserve">, comunicarse por escrito y por teléfono y tener energía eléctrica </w:t>
      </w:r>
      <w:r>
        <w:rPr>
          <w:b/>
          <w:i/>
        </w:rPr>
        <w:t>y ese interés público consiste en que cada individuo sea bien atendido en la prestación del servicio</w:t>
      </w:r>
      <w:r>
        <w:rPr>
          <w:i/>
        </w:rPr>
        <w:t>”</w:t>
      </w:r>
      <w:r>
        <w:rPr>
          <w:i/>
          <w:vertAlign w:val="superscript"/>
        </w:rPr>
        <w:footnoteReference w:id="1"/>
      </w:r>
      <w:r>
        <w:rPr>
          <w:i/>
        </w:rPr>
        <w:t xml:space="preserve"> </w:t>
      </w:r>
      <w:r>
        <w:t>(el resaltado me pertenece)</w:t>
      </w:r>
      <w:r>
        <w:rPr>
          <w:i/>
        </w:rPr>
        <w:t xml:space="preserve">, </w:t>
      </w:r>
      <w:r>
        <w:t xml:space="preserve">por lo que en sentido completamente distinto a lo que aduce la contraria, la Municipalidad entiende que se está propendiendo al interés público, porque nadie puede negar que en los años que corren, los vecinos de la ciudad se sirven del servicio que se brinda por estas plataformas. Como ya se dijo, regulando la actividad se busca brindar seguridad jurídica y protección a la población salteña. </w:t>
      </w:r>
    </w:p>
    <w:p w14:paraId="65B4B42E" w14:textId="77777777" w:rsidR="00A306E3" w:rsidRDefault="00B6545A">
      <w:pPr>
        <w:spacing w:after="114" w:line="259" w:lineRule="auto"/>
        <w:ind w:right="-6"/>
        <w:jc w:val="right"/>
      </w:pPr>
      <w:r>
        <w:t xml:space="preserve">Así las cosas, la actora incurre en un error al confundir </w:t>
      </w:r>
    </w:p>
    <w:p w14:paraId="60713249" w14:textId="77777777" w:rsidR="00A306E3" w:rsidRDefault="00B6545A">
      <w:pPr>
        <w:spacing w:line="368" w:lineRule="auto"/>
        <w:ind w:left="-5" w:right="0"/>
      </w:pPr>
      <w:r>
        <w:t xml:space="preserve">el concepto de interés público, con el de interés económico (o conveniencia). El Dr. Gordillo también se ha expedido al respecto: </w:t>
      </w:r>
      <w:r>
        <w:rPr>
          <w:i/>
        </w:rPr>
        <w:t>“…El tercer error de la concepción tradicional de “interés público” lo señala Radbruch, y es el fundamental: Se concibe al interés público tan sólo como una conveniencia material o económica; nada más. Y ello comporta un error humano decisivo. El orden jurídico no sólo está destinado a asegurar los valores “seguridad” y “conveniencia,” sino también, y primordialmente, el valor “justicia”…”</w:t>
      </w:r>
      <w:r>
        <w:rPr>
          <w:i/>
          <w:vertAlign w:val="superscript"/>
        </w:rPr>
        <w:footnoteReference w:id="2"/>
      </w:r>
      <w:r>
        <w:rPr>
          <w:i/>
        </w:rPr>
        <w:t>.</w:t>
      </w:r>
      <w:r>
        <w:t xml:space="preserve"> </w:t>
      </w:r>
    </w:p>
    <w:p w14:paraId="71A2F1BC" w14:textId="77777777" w:rsidR="00A306E3" w:rsidRDefault="00B6545A">
      <w:pPr>
        <w:spacing w:after="114" w:line="259" w:lineRule="auto"/>
        <w:ind w:right="-6"/>
        <w:jc w:val="right"/>
      </w:pPr>
      <w:r>
        <w:t xml:space="preserve">Me permito también señalar en cuanto a la aplicación </w:t>
      </w:r>
    </w:p>
    <w:p w14:paraId="1320A3A0" w14:textId="77777777" w:rsidR="00A306E3" w:rsidRDefault="00B6545A">
      <w:pPr>
        <w:spacing w:after="25"/>
        <w:ind w:left="-5" w:right="-8"/>
      </w:pPr>
      <w:r>
        <w:t xml:space="preserve">pragmática de la Cláusula del Progreso, que ella escapa de los tribunales e integra en todo caso facultades del Poder Legislativo (en la esfera estatal de la que se trate, en el caso el Estado Municipal y su órgano deliberativo). Así lo entiende la doctrina: </w:t>
      </w:r>
    </w:p>
    <w:p w14:paraId="6631DB02" w14:textId="77777777" w:rsidR="00A306E3" w:rsidRDefault="00B6545A">
      <w:pPr>
        <w:ind w:left="-5" w:right="-8"/>
      </w:pPr>
      <w:r>
        <w:t xml:space="preserve">“Aunque el mandato constitucional es claro acerca del programa que debe desarrollar el Poder Legislativo, la elección y articulación de las políticas específicas es discrecional del Congreso y, en principio, no podría demandarse al Estado para que las instrumente de uno u otro modo” y </w:t>
      </w:r>
      <w:r>
        <w:rPr>
          <w:i/>
        </w:rPr>
        <w:t>“Según doctrina de la Corte Suprema, esta no tiene atribuciones para analizar la conveniencia, oportunidad o eficacia de las normas, pues esos criterios son atribuciones propias de los poderes políticos. Lo contrario implicaría sustituir, por parte de los tribunales, los criterios del Congreso Federal acerca de las políticas públicas que deben instrumentarse por las opiniones de los magistrados judiciales sobre el punto, violando, con ello, la división de poderes</w:t>
      </w:r>
      <w:r>
        <w:rPr>
          <w:vertAlign w:val="superscript"/>
        </w:rPr>
        <w:footnoteReference w:id="3"/>
      </w:r>
      <w:r>
        <w:t xml:space="preserve">. La jurisprudencia ha dicho en sentido análogo muchas veces que, las cuestiones de prudencia política, escapan a su análisis, pues su revisión no debe ser tendiente a verificar si políticamente resultaba oportuno o conveniente la emisión de una norma, sino en todo caso debe realizar el control de constitucionalidad de los efectos que ésa norma tiene sobre los derechos. De otro modo, estaríamos ante un supuesto de avasallamiento o desnaturalización de competencias del sistema republicano de gobierno. </w:t>
      </w:r>
    </w:p>
    <w:p w14:paraId="21ABCA2C" w14:textId="77777777" w:rsidR="00A306E3" w:rsidRDefault="00B6545A">
      <w:pPr>
        <w:spacing w:after="117" w:line="259" w:lineRule="auto"/>
        <w:ind w:left="2835" w:right="0" w:firstLine="0"/>
        <w:jc w:val="left"/>
      </w:pPr>
      <w:r>
        <w:t xml:space="preserve"> </w:t>
      </w:r>
    </w:p>
    <w:p w14:paraId="5677C9C8" w14:textId="77777777" w:rsidR="00A306E3" w:rsidRDefault="00B6545A">
      <w:pPr>
        <w:pStyle w:val="Ttulo1"/>
        <w:ind w:left="2845"/>
      </w:pPr>
      <w:r>
        <w:t>SOBRE LA RELACIÓN DE CONSUMO</w:t>
      </w:r>
      <w:r>
        <w:rPr>
          <w:b w:val="0"/>
        </w:rPr>
        <w:t xml:space="preserve"> </w:t>
      </w:r>
    </w:p>
    <w:p w14:paraId="4C84E8A7" w14:textId="77777777" w:rsidR="00A306E3" w:rsidRDefault="00B6545A">
      <w:pPr>
        <w:spacing w:after="114" w:line="259" w:lineRule="auto"/>
        <w:ind w:right="-6"/>
        <w:jc w:val="right"/>
      </w:pPr>
      <w:r>
        <w:t xml:space="preserve">Argumenta la actora que se vulneró la protección a los </w:t>
      </w:r>
    </w:p>
    <w:p w14:paraId="21DE3732" w14:textId="77777777" w:rsidR="00A306E3" w:rsidRDefault="00B6545A">
      <w:pPr>
        <w:ind w:left="-5" w:right="-8"/>
      </w:pPr>
      <w:r>
        <w:t xml:space="preserve">consumidores. Todo lo contrario, pues precisamente el art. 3° de la Ley N°24.240 establece que “relación de consumo” es el vínculo jurídico entre el proveedor y el consumidor o usuario. Sobre dicha relación colige hacer notar que precisamente, por el modo en que se presta el servicio, se brinda en forma “cierta, clara y detallada” la </w:t>
      </w:r>
      <w:r>
        <w:rPr>
          <w:b/>
        </w:rPr>
        <w:t>información</w:t>
      </w:r>
      <w:r>
        <w:rPr>
          <w:b/>
          <w:vertAlign w:val="superscript"/>
        </w:rPr>
        <w:footnoteReference w:id="4"/>
      </w:r>
      <w:r>
        <w:t xml:space="preserve"> no solo del precio, sino hasta de la ruta que seguirá el “proveedor” (en los términos de la Ley N°24.240). El sujeto que demanda el servicio, al hacerlo tiene acceso al precio en forma anticipada, a los datos del conductor, del vehículo, de la ruta comprensiva del viaje, e inclusive una estimación del tiempo que le llevará completarlo. Por lo que también se cumple con las exigencias legales respecto de las condiciones de oferta y venta (del art. 7° de la Ley 24.240) y la prestación del servicio se asegura entonces ser ejecutada conforme lo pactado. </w:t>
      </w:r>
    </w:p>
    <w:p w14:paraId="64F83B8C" w14:textId="77777777" w:rsidR="00A306E3" w:rsidRDefault="00B6545A">
      <w:pPr>
        <w:spacing w:after="120" w:line="259" w:lineRule="auto"/>
        <w:ind w:left="2835" w:right="0" w:firstLine="0"/>
        <w:jc w:val="left"/>
      </w:pPr>
      <w:r>
        <w:t xml:space="preserve"> </w:t>
      </w:r>
    </w:p>
    <w:p w14:paraId="22116784" w14:textId="77777777" w:rsidR="00A306E3" w:rsidRDefault="00B6545A">
      <w:pPr>
        <w:spacing w:after="112" w:line="259" w:lineRule="auto"/>
        <w:ind w:left="2845" w:right="0"/>
        <w:jc w:val="left"/>
      </w:pPr>
      <w:r>
        <w:rPr>
          <w:b/>
        </w:rPr>
        <w:t xml:space="preserve">SOBRE LA IGUALDAD ANTE LA LEY: </w:t>
      </w:r>
    </w:p>
    <w:p w14:paraId="10BCFDE2" w14:textId="77777777" w:rsidR="00A306E3" w:rsidRDefault="00B6545A">
      <w:pPr>
        <w:spacing w:after="114" w:line="259" w:lineRule="auto"/>
        <w:ind w:right="-6"/>
        <w:jc w:val="right"/>
      </w:pPr>
      <w:r>
        <w:t xml:space="preserve">Argumenta la actora que habría una supuesta </w:t>
      </w:r>
    </w:p>
    <w:p w14:paraId="3D649327" w14:textId="77777777" w:rsidR="00A306E3" w:rsidRDefault="00B6545A">
      <w:pPr>
        <w:ind w:left="-5" w:right="-8"/>
      </w:pPr>
      <w:r>
        <w:t>vulneración a la igualdad ante la ley. Sobre este punto, tomaremos como premisa las enseñanzas del maestro Bidart Campos: a) la igualdad exige que se trate del mismo modo a quienes se encuentran en iguales condiciones (se incluye equitativamente dentro de la Ordenanza N°16.377 a los taxis y remises)</w:t>
      </w:r>
      <w:r>
        <w:rPr>
          <w:vertAlign w:val="superscript"/>
        </w:rPr>
        <w:footnoteReference w:id="5"/>
      </w:r>
      <w:r>
        <w:t>; b) por eso implica el derecho a que no se establezcan excepciones o privilegios que excluyan a unos de lo que se concede a otros en iguales circunstancias (no se otorgan privilegios especiales, a contrario sensu se les exige a ambos iguales requisitos para prestar el servicio</w:t>
      </w:r>
      <w:r>
        <w:rPr>
          <w:vertAlign w:val="superscript"/>
        </w:rPr>
        <w:t>6</w:t>
      </w:r>
      <w:r>
        <w:t>); c) la regla de igualdad, no es absoluta ni obliga al legislador a cerrar los ojos ante la diversidad de circunstancias, condiciones o diferencias que pueden presentarse a su consideración; lo que aquella regla estatuye es la obligación de igualar a todas las personas afectadas por una medida, dentro de la categoría, grupo o clasificación que les corresponda, evitando distinciones arbitrarias u hostiles (como ya se dijo, es conductor del Servicio de Movilidad para Usuarios de Plataformas Digitales de Transporte (en adelante SeMUPDiT),</w:t>
      </w:r>
      <w:r>
        <w:rPr>
          <w:sz w:val="22"/>
        </w:rPr>
        <w:t xml:space="preserve"> </w:t>
      </w:r>
      <w:r>
        <w:rPr>
          <w:i/>
          <w:sz w:val="22"/>
        </w:rPr>
        <w:t>“</w:t>
      </w:r>
      <w:r>
        <w:rPr>
          <w:b/>
          <w:i/>
          <w:sz w:val="22"/>
        </w:rPr>
        <w:t xml:space="preserve">toda </w:t>
      </w:r>
      <w:r>
        <w:rPr>
          <w:b/>
          <w:i/>
        </w:rPr>
        <w:t>persona con permiso</w:t>
      </w:r>
      <w:r>
        <w:rPr>
          <w:i/>
        </w:rPr>
        <w:t xml:space="preserve"> para conducir un vehículo afectado al Servicio de Movilidad para Usuarios de Plataformas Digitales de Transporte, prestado en la modalidad de traslado de punto a punto” </w:t>
      </w:r>
      <w:r>
        <w:t xml:space="preserve">(no hay categorías arbitrarias si el servicio lo puede prestar toda persona con permiso al efecto); d) la razonabilidad es la pauta para ponderar la medida de la igualdad, con lo que queda entendido que el legislador puede crear categorías, grupos o clasificaciones que irroguen trato diferente entre los habitantes, a condición de que el criterio empleado sea ‘razonable’ (no hay discriminación alguna, </w:t>
      </w:r>
      <w:r>
        <w:rPr>
          <w:b/>
        </w:rPr>
        <w:t>toda persona con permiso, puede prestar el servicio</w:t>
      </w:r>
      <w:r>
        <w:t>); e) las únicas desigualdades inconstitucionales son las arbitrarias, y por arbitrarias han de estimarse las que carecen de toda razonabilidad, las persecutorias, las hostiles, las que deparan indebidos favores o privilegios, etc</w:t>
      </w:r>
      <w:r>
        <w:rPr>
          <w:vertAlign w:val="superscript"/>
        </w:rPr>
        <w:footnoteReference w:id="6"/>
      </w:r>
      <w:r>
        <w:t xml:space="preserve">. </w:t>
      </w:r>
    </w:p>
    <w:p w14:paraId="566E2704" w14:textId="77777777" w:rsidR="00A306E3" w:rsidRDefault="00B6545A">
      <w:pPr>
        <w:spacing w:after="120" w:line="259" w:lineRule="auto"/>
        <w:ind w:left="2835" w:right="0" w:firstLine="0"/>
        <w:jc w:val="left"/>
      </w:pPr>
      <w:r>
        <w:rPr>
          <w:color w:val="EE0000"/>
        </w:rPr>
        <w:t xml:space="preserve"> </w:t>
      </w:r>
    </w:p>
    <w:p w14:paraId="5ADBBB37" w14:textId="77777777" w:rsidR="00A306E3" w:rsidRDefault="00B6545A">
      <w:pPr>
        <w:pStyle w:val="Ttulo1"/>
        <w:spacing w:after="0" w:line="362" w:lineRule="auto"/>
        <w:ind w:left="-15" w:firstLine="2835"/>
      </w:pPr>
      <w:r>
        <w:t xml:space="preserve">SOBRE </w:t>
      </w:r>
      <w:r>
        <w:tab/>
        <w:t xml:space="preserve">LA </w:t>
      </w:r>
      <w:r>
        <w:tab/>
        <w:t xml:space="preserve">SUPUESTA </w:t>
      </w:r>
      <w:r>
        <w:tab/>
        <w:t xml:space="preserve">AFECTACIÓN </w:t>
      </w:r>
      <w:r>
        <w:tab/>
        <w:t xml:space="preserve">AL DERECHO A TRABAJAR </w:t>
      </w:r>
    </w:p>
    <w:p w14:paraId="3AAA0300" w14:textId="77777777" w:rsidR="00A306E3" w:rsidRDefault="00B6545A">
      <w:pPr>
        <w:spacing w:after="114" w:line="259" w:lineRule="auto"/>
        <w:ind w:right="-6"/>
        <w:jc w:val="right"/>
      </w:pPr>
      <w:r>
        <w:t xml:space="preserve">Sobre la otra cuestión que la actora trajo a debate </w:t>
      </w:r>
    </w:p>
    <w:p w14:paraId="2741DE8F" w14:textId="77777777" w:rsidR="00A306E3" w:rsidRDefault="00B6545A">
      <w:pPr>
        <w:ind w:left="-5" w:right="-8"/>
      </w:pPr>
      <w:r>
        <w:t xml:space="preserve">respecto del derecho al trabajo digno, conviene señalar - como ya se sostuviera en la contestación de demanda </w:t>
      </w:r>
      <w:r>
        <w:rPr>
          <w:i/>
        </w:rPr>
        <w:t xml:space="preserve">“las reglamentaciones de los derechos económicos tales como el derecho a trabajar y ejercer industria lícita, se justifican en razón de intereses generales no siempre sencillos de precisar y que, por lo tanto, implican elecciones políticas de conveniencia y oportunidad, conforme atribuciones propias de los poderes del Estado (María Angélica Gelli, Constitución de la Nación Argentina comentada y concordada, 6 ta. Edición, Tomo I, Editorial La Ley, pág. 140, primer párrafo)”. </w:t>
      </w:r>
      <w:r>
        <w:t>A este respecto, el fin de la Ordenanza es completamente inverso a lo señalado por la actora, no busca afectar el derecho al trabajo, sino reglamentar una actividad que ya venía siendo usual en la ciudad de Salta desde hace varios años</w:t>
      </w:r>
      <w:r>
        <w:rPr>
          <w:vertAlign w:val="superscript"/>
        </w:rPr>
        <w:footnoteReference w:id="7"/>
      </w:r>
      <w:r>
        <w:t xml:space="preserve"> y en Latinoamérica desde hace por lo menos diez. Piénsese que el derecho es dinámico, por cuanto de otro modo se tornaría anacrónico. Son las sociedades, como se acreditó oportunamente en la contestación de demanda, las que exigen al legislador una labor legislativa acorde a los tiempos que corren y protectoras en consecuencia del interés general. </w:t>
      </w:r>
    </w:p>
    <w:p w14:paraId="2503D956" w14:textId="77777777" w:rsidR="00A306E3" w:rsidRDefault="00B6545A">
      <w:pPr>
        <w:pStyle w:val="Ttulo1"/>
        <w:spacing w:after="0" w:line="356" w:lineRule="auto"/>
        <w:ind w:left="-15" w:firstLine="2835"/>
      </w:pPr>
      <w:r>
        <w:t xml:space="preserve">SOBRE LA REGULACIÓN DE LOS SERVICIOS PÚBLICOS </w:t>
      </w:r>
    </w:p>
    <w:p w14:paraId="1FB5735D" w14:textId="77777777" w:rsidR="00A306E3" w:rsidRDefault="00B6545A">
      <w:pPr>
        <w:spacing w:after="114" w:line="259" w:lineRule="auto"/>
        <w:ind w:right="-6"/>
        <w:jc w:val="right"/>
      </w:pPr>
      <w:r>
        <w:t xml:space="preserve">Otro tanto tiene que ver la supuesta afectación a la </w:t>
      </w:r>
    </w:p>
    <w:p w14:paraId="0F177654" w14:textId="77777777" w:rsidR="00A306E3" w:rsidRDefault="00B6545A">
      <w:pPr>
        <w:ind w:left="-5" w:right="-8"/>
      </w:pPr>
      <w:r>
        <w:t xml:space="preserve">regulación equitativa de los servicios públicos. Sobre este punto, ya se ha explicado oportunamente que </w:t>
      </w:r>
      <w:r>
        <w:rPr>
          <w:b/>
        </w:rPr>
        <w:t>no se trata de un servicio público</w:t>
      </w:r>
      <w:r>
        <w:t xml:space="preserve">, </w:t>
      </w:r>
      <w:r>
        <w:rPr>
          <w:b/>
        </w:rPr>
        <w:t>sino de una “</w:t>
      </w:r>
      <w:r>
        <w:rPr>
          <w:b/>
          <w:u w:val="single" w:color="000000"/>
        </w:rPr>
        <w:t>actividad</w:t>
      </w:r>
      <w:r>
        <w:rPr>
          <w:b/>
        </w:rPr>
        <w:t xml:space="preserve"> </w:t>
      </w:r>
      <w:r>
        <w:rPr>
          <w:b/>
          <w:u w:val="single" w:color="000000"/>
        </w:rPr>
        <w:t>privada de interés público</w:t>
      </w:r>
      <w:r>
        <w:t xml:space="preserve">”. Reiteramos todos los fundamentos ya expuestos al respecto oportunamente, haciendo énfasis particularmente en la necesidad de la </w:t>
      </w:r>
    </w:p>
    <w:p w14:paraId="12232931" w14:textId="77777777" w:rsidR="00A306E3" w:rsidRDefault="00B6545A">
      <w:pPr>
        <w:spacing w:after="115" w:line="259" w:lineRule="auto"/>
        <w:ind w:left="-5" w:right="-8"/>
      </w:pPr>
      <w:r>
        <w:t xml:space="preserve">“publicatio”. Vetusto sería seguir considerando teorías que ya desde antaño el Dr. </w:t>
      </w:r>
    </w:p>
    <w:p w14:paraId="69F00AE0" w14:textId="77777777" w:rsidR="00A306E3" w:rsidRDefault="00B6545A">
      <w:pPr>
        <w:ind w:left="-5" w:right="-8"/>
      </w:pPr>
      <w:r>
        <w:t xml:space="preserve">Gordillo criticaba, como aquellas que ponían el sello distintivo del “servicio público” en el requisito de la regularidad de la prestación del servicio o el régimen exorbitante. En verdad, el diferencial está dado por la declaración de servicio público que hace el </w:t>
      </w:r>
    </w:p>
    <w:p w14:paraId="38DE178E" w14:textId="77777777" w:rsidR="00A306E3" w:rsidRDefault="00B6545A">
      <w:pPr>
        <w:spacing w:after="115" w:line="259" w:lineRule="auto"/>
        <w:ind w:left="-5" w:right="-8"/>
      </w:pPr>
      <w:r>
        <w:t xml:space="preserve">Estado, “la publicatio”. Sobre este punto, el Dr. Cassagne ha dicho contundentemente: </w:t>
      </w:r>
    </w:p>
    <w:p w14:paraId="3B3A76CE" w14:textId="77777777" w:rsidR="00A306E3" w:rsidRDefault="00B6545A">
      <w:pPr>
        <w:spacing w:line="368" w:lineRule="auto"/>
        <w:ind w:left="-5" w:right="0"/>
      </w:pPr>
      <w:r>
        <w:rPr>
          <w:i/>
        </w:rPr>
        <w:t>“…En definitiva, salvo que se configure la publicatio, tales actividades no son de titularidad estatal ni su otorgamiento se rige por las técnicas de la concesión de servicios públicos ni del permiso”</w:t>
      </w:r>
      <w:r>
        <w:rPr>
          <w:i/>
          <w:vertAlign w:val="superscript"/>
        </w:rPr>
        <w:footnoteReference w:id="8"/>
      </w:r>
      <w:r>
        <w:rPr>
          <w:i/>
        </w:rPr>
        <w:t>.</w:t>
      </w:r>
      <w:r>
        <w:t xml:space="preserve">    </w:t>
      </w:r>
    </w:p>
    <w:p w14:paraId="4CEC9CF8" w14:textId="77777777" w:rsidR="00A306E3" w:rsidRDefault="00B6545A">
      <w:pPr>
        <w:spacing w:after="114" w:line="259" w:lineRule="auto"/>
        <w:ind w:right="-6"/>
        <w:jc w:val="right"/>
      </w:pPr>
      <w:r>
        <w:t xml:space="preserve">Inclusive, despeja toda duda si se trata de servicio </w:t>
      </w:r>
    </w:p>
    <w:p w14:paraId="2C4EB1A8" w14:textId="77777777" w:rsidR="00A306E3" w:rsidRDefault="00B6545A">
      <w:pPr>
        <w:spacing w:line="368" w:lineRule="auto"/>
        <w:ind w:left="-5" w:right="0"/>
      </w:pPr>
      <w:r>
        <w:t xml:space="preserve">público propio o impropio, cuando refiere que: </w:t>
      </w:r>
      <w:r>
        <w:rPr>
          <w:i/>
        </w:rPr>
        <w:t xml:space="preserve">“En cambio, la realización de servicios públicos —lo cual está dentro de la finalidad que asume el Estado a través de la </w:t>
      </w:r>
      <w:r>
        <w:rPr>
          <w:b/>
          <w:i/>
        </w:rPr>
        <w:t xml:space="preserve">publicatio </w:t>
      </w:r>
      <w:r>
        <w:rPr>
          <w:i/>
        </w:rPr>
        <w:t xml:space="preserve">(cuando son propios o en el caso de los llamados impropios, mediante la respectiva </w:t>
      </w:r>
      <w:r>
        <w:rPr>
          <w:b/>
          <w:i/>
        </w:rPr>
        <w:t>declaración legal</w:t>
      </w:r>
      <w:r>
        <w:rPr>
          <w:i/>
        </w:rPr>
        <w:t>)— supone siempre la observancia de reglas que implican la obligatoriedad de la prestación con preeminencia de la igualdad sobre la libertad, lo que se justifica en virtud del carácter primordial que reviste la atención de determinadas necesidades colectivas”</w:t>
      </w:r>
      <w:r>
        <w:rPr>
          <w:i/>
          <w:vertAlign w:val="superscript"/>
        </w:rPr>
        <w:t>10</w:t>
      </w:r>
      <w:r>
        <w:rPr>
          <w:i/>
        </w:rPr>
        <w:t xml:space="preserve"> </w:t>
      </w:r>
      <w:r>
        <w:t xml:space="preserve">(en todos los casos, el destacado me pertenece a efectos de mayor ilustración). Nótese entonces que, no habiendo “publicatio” ni “declaración legal”, no resiste ningún análisis la hipótesis de que el servicio bajo análisis sea servicio público.  </w:t>
      </w:r>
    </w:p>
    <w:p w14:paraId="62025285" w14:textId="77777777" w:rsidR="00A306E3" w:rsidRDefault="00B6545A">
      <w:pPr>
        <w:spacing w:after="114" w:line="259" w:lineRule="auto"/>
        <w:ind w:right="-6"/>
        <w:jc w:val="right"/>
      </w:pPr>
      <w:r>
        <w:t xml:space="preserve">En concordancia con lo expuesto, ha quedado </w:t>
      </w:r>
    </w:p>
    <w:p w14:paraId="0E24A604" w14:textId="77777777" w:rsidR="00A306E3" w:rsidRDefault="00B6545A">
      <w:pPr>
        <w:ind w:left="-5" w:right="-8"/>
      </w:pPr>
      <w:r>
        <w:t xml:space="preserve">demostrado que el servicio impropio de taxis y remises se encuentra sujeto a regulación y jurisdicción provincial, mientras que el transporte mediante plataformas es una “actividad privada de interés público”, sujeta a regulación y jurisdicción municipal. </w:t>
      </w:r>
    </w:p>
    <w:p w14:paraId="2F0197EF" w14:textId="77777777" w:rsidR="00A306E3" w:rsidRDefault="00B6545A">
      <w:pPr>
        <w:spacing w:after="114" w:line="259" w:lineRule="auto"/>
        <w:ind w:right="-6"/>
        <w:jc w:val="right"/>
      </w:pPr>
      <w:r>
        <w:t xml:space="preserve">De esta manera y si bien la actora plantea la demanda </w:t>
      </w:r>
    </w:p>
    <w:p w14:paraId="6B2E734E" w14:textId="77777777" w:rsidR="00A306E3" w:rsidRDefault="00B6545A">
      <w:pPr>
        <w:ind w:left="-5" w:right="-8"/>
      </w:pPr>
      <w:r>
        <w:t xml:space="preserve">como si ambas actividades trataran del mismo “servicio impropio”, en realidad no es así, el servicio de transporte mediante plataformas es una actividad privada de interés público, lo cual demuestra que la contraria partió de una premisa errónea para desarrollar la demanda.  </w:t>
      </w:r>
    </w:p>
    <w:p w14:paraId="700A5C1D" w14:textId="77777777" w:rsidR="00A306E3" w:rsidRDefault="00B6545A">
      <w:pPr>
        <w:spacing w:after="114" w:line="259" w:lineRule="auto"/>
        <w:ind w:right="-6"/>
        <w:jc w:val="right"/>
      </w:pPr>
      <w:r>
        <w:t xml:space="preserve">Por su parte, con relación a las tarifas preestablecidas </w:t>
      </w:r>
    </w:p>
    <w:p w14:paraId="587CAA36" w14:textId="77777777" w:rsidR="00A306E3" w:rsidRDefault="00B6545A">
      <w:pPr>
        <w:ind w:left="-5" w:right="-8"/>
      </w:pPr>
      <w:r>
        <w:t xml:space="preserve">para el servicio impropio de taxis, se hizo notar que responden a realidades distintas, no solo por el tipo de servicio de una y otra actividad, sino también por la distinta modalidad de prestación de los mismos.  </w:t>
      </w:r>
    </w:p>
    <w:p w14:paraId="419AC630" w14:textId="77777777" w:rsidR="00A306E3" w:rsidRDefault="00B6545A">
      <w:pPr>
        <w:spacing w:after="114" w:line="259" w:lineRule="auto"/>
        <w:ind w:right="-6"/>
        <w:jc w:val="right"/>
      </w:pPr>
      <w:r>
        <w:t xml:space="preserve">Se acreditó asimismo distintos beneficios recibidos por </w:t>
      </w:r>
    </w:p>
    <w:p w14:paraId="69B200D8" w14:textId="77777777" w:rsidR="00A306E3" w:rsidRDefault="00B6545A">
      <w:pPr>
        <w:ind w:left="-5" w:right="-8"/>
      </w:pPr>
      <w:r>
        <w:t xml:space="preserve">los licenciatarios, tales como la eximición de pago del impuesto automotor, haber asumido la Municipalidad de la Ciudad de Salta el pago de los montos que correspondan a fiscalización anual y anticipada y, por último, haberse equiparado la antigüedad de los vehículos tanto del servicio impropio como de transporte mediante plataformas. </w:t>
      </w:r>
    </w:p>
    <w:p w14:paraId="6CD73D67" w14:textId="77777777" w:rsidR="00A306E3" w:rsidRDefault="00B6545A">
      <w:pPr>
        <w:spacing w:after="110" w:line="259" w:lineRule="auto"/>
        <w:ind w:right="-9"/>
        <w:jc w:val="right"/>
      </w:pPr>
      <w:r>
        <w:rPr>
          <w:b/>
        </w:rPr>
        <w:t xml:space="preserve">SOBRE LA SUPUESTA VULNERACIÓN A LA </w:t>
      </w:r>
    </w:p>
    <w:p w14:paraId="185B7794" w14:textId="77777777" w:rsidR="00A306E3" w:rsidRDefault="00B6545A">
      <w:pPr>
        <w:pStyle w:val="Ttulo1"/>
        <w:ind w:left="-5"/>
      </w:pPr>
      <w:r>
        <w:t xml:space="preserve">LEY N°27.442 </w:t>
      </w:r>
    </w:p>
    <w:p w14:paraId="08073678" w14:textId="77777777" w:rsidR="00A306E3" w:rsidRDefault="00B6545A">
      <w:pPr>
        <w:spacing w:after="0" w:line="357" w:lineRule="auto"/>
        <w:ind w:left="0" w:right="0" w:firstLine="2835"/>
        <w:jc w:val="left"/>
      </w:pPr>
      <w:r>
        <w:t xml:space="preserve">Menciona también la actora una supuesta violación a la Ley N°27.442 de Defensa de la Competencia, al Dec. N°274/2019 y al Convenio de París. Sobre ello y como ya quedara acreditado en la contestación de demanda, no se corresponden con la acción intentada ni guardan vinculación alguna con la normativa que se ha dictado. </w:t>
      </w:r>
    </w:p>
    <w:p w14:paraId="17C15AEF" w14:textId="77777777" w:rsidR="00A306E3" w:rsidRDefault="00B6545A">
      <w:pPr>
        <w:ind w:left="-15" w:right="-8" w:firstLine="2835"/>
      </w:pPr>
      <w:r>
        <w:t xml:space="preserve">A más de lo expuesto, para que haya prácticas ABSOLUTAMENTE restrictivas de la competencia deben darse los siguientes requisitos: </w:t>
      </w:r>
      <w:r>
        <w:rPr>
          <w:i/>
        </w:rPr>
        <w:t xml:space="preserve">“Art. 2°- Constituyen prácticas absolutamente restrictivas de la competencia y se presume que producen perjuicio al interés económico general, </w:t>
      </w:r>
      <w:r>
        <w:rPr>
          <w:b/>
          <w:i/>
        </w:rPr>
        <w:t>los acuerdos entre dos o más competidores, consistentes en contratos, convenios o arreglos</w:t>
      </w:r>
      <w:r>
        <w:rPr>
          <w:i/>
        </w:rPr>
        <w:t xml:space="preserve"> cuyo objeto o efecto fuere:…”. </w:t>
      </w:r>
      <w:r>
        <w:t xml:space="preserve">No es el caso, por cuanto no hay acuerdo alguno entre el Municipio y dichas plataformas; y para que haya prácticas restrictivas de la competencia deben configurarse algunas de las conductas del art. 3° de la ley, o bien, presentarse la situación descripta por el art. 1° de la norma: </w:t>
      </w:r>
      <w:r>
        <w:rPr>
          <w:i/>
        </w:rPr>
        <w:t xml:space="preserve">“Artículo 1°- Están prohibidos los </w:t>
      </w:r>
      <w:r>
        <w:rPr>
          <w:b/>
          <w:i/>
        </w:rPr>
        <w:t>acuerdos entre competidores, las concentraciones económicas, los actos o conductas de cualquier forma manifestados, relacionados con la producción e intercambio de bienes o servicios</w:t>
      </w:r>
      <w:r>
        <w:rPr>
          <w:i/>
        </w:rPr>
        <w:t xml:space="preserve">, que tengan por objeto o efecto limitar, restringir, falsear o distorsionar la competencia o el acceso al mercado o que constituyan abuso de una posición dominante en un mercado, de modo que pueda resultar perjuicio para el interés económico general”, </w:t>
      </w:r>
      <w:r>
        <w:t xml:space="preserve">no se da ninguno de todos los supuestos mencionados, sencillamente porque el Estado Municipal no es “competidor”, es simplemente el Estado cumpliendo su función administrativa. </w:t>
      </w:r>
    </w:p>
    <w:p w14:paraId="6FCA4548" w14:textId="77777777" w:rsidR="00A306E3" w:rsidRDefault="00B6545A">
      <w:pPr>
        <w:spacing w:after="114" w:line="259" w:lineRule="auto"/>
        <w:ind w:right="-6"/>
        <w:jc w:val="right"/>
      </w:pPr>
      <w:r>
        <w:t xml:space="preserve">La actividad regulatoria del Estado Municipal no es </w:t>
      </w:r>
    </w:p>
    <w:p w14:paraId="3DD0DFC8" w14:textId="77777777" w:rsidR="00A306E3" w:rsidRDefault="00B6545A">
      <w:pPr>
        <w:ind w:left="-5" w:right="-8"/>
      </w:pPr>
      <w:r>
        <w:t xml:space="preserve">actividad económica, no compite, no participa del mercado en modo alguno, lo único que hace es, como ya se dijo, es proteger el interés general. </w:t>
      </w:r>
    </w:p>
    <w:p w14:paraId="1125C277" w14:textId="77777777" w:rsidR="00A306E3" w:rsidRDefault="00B6545A">
      <w:pPr>
        <w:spacing w:after="114" w:line="259" w:lineRule="auto"/>
        <w:ind w:right="-6"/>
        <w:jc w:val="right"/>
      </w:pPr>
      <w:r>
        <w:t xml:space="preserve">Además, el ingreso de empresas al mercado, es </w:t>
      </w:r>
    </w:p>
    <w:p w14:paraId="70A21BA8" w14:textId="77777777" w:rsidR="00A306E3" w:rsidRDefault="00B6545A">
      <w:pPr>
        <w:ind w:left="-5" w:right="-8"/>
      </w:pPr>
      <w:r>
        <w:t xml:space="preserve">precisamente eso: competencia. Ergo, en definitiva, lo que el Estado Municipal hace, en sentido completamente inverso a los dichos de la actora, es promover la competencia, permitiendo la participación de nuevos y más actores en el mercado; generando mejores condiciones de seguridad para usuarios y conductores; en fin, está precisamente cumpliendo con estándares internacionales de competencia lícita y en un marco jurídico regulado. </w:t>
      </w:r>
    </w:p>
    <w:p w14:paraId="160BE05D" w14:textId="77777777" w:rsidR="00A306E3" w:rsidRDefault="00B6545A">
      <w:pPr>
        <w:spacing w:after="136" w:line="259" w:lineRule="auto"/>
        <w:ind w:right="313"/>
        <w:jc w:val="right"/>
      </w:pPr>
      <w:r>
        <w:rPr>
          <w:b/>
        </w:rPr>
        <w:t xml:space="preserve">SOBRE EL PRINCIPIO DE RAZONABILIDAD </w:t>
      </w:r>
    </w:p>
    <w:p w14:paraId="60AB0BA7" w14:textId="77777777" w:rsidR="00A306E3" w:rsidRDefault="00B6545A">
      <w:pPr>
        <w:spacing w:line="368" w:lineRule="auto"/>
        <w:ind w:left="-15" w:right="0" w:firstLine="2835"/>
      </w:pPr>
      <w:r>
        <w:t xml:space="preserve">Sostiene la doctrina que: </w:t>
      </w:r>
      <w:r>
        <w:rPr>
          <w:i/>
        </w:rPr>
        <w:t>“En principio, el Art. 28 de la Constitución fija los lindes a la competencia reglamentaria del Congreso establecida en el Art. 14, en tanto esta norma declara que los derechos allí enumerados se ejercen conforme a las leyes que reglamentan su ejercicio. De ambas disposiciones constitucionales resulta claro que los derechos no son absolutos en su ejercicio; que tal como lo sostuvo la Corte Suprema, lo contrario implicaría un uso antisocial de las facultades constitucionales; que, en consecuencia, existen múltiples razones para limitar aquel uso, pero que la capacidad reglamentaria no es ilimitada, tiene bordes: las leyes no deben alterar los principios, los derechos y garantías”.</w:t>
      </w:r>
      <w:r>
        <w:rPr>
          <w:i/>
          <w:vertAlign w:val="superscript"/>
        </w:rPr>
        <w:footnoteReference w:id="9"/>
      </w:r>
      <w:r>
        <w:rPr>
          <w:i/>
        </w:rPr>
        <w:t xml:space="preserve"> </w:t>
      </w:r>
    </w:p>
    <w:p w14:paraId="1CEAE488" w14:textId="77777777" w:rsidR="00A306E3" w:rsidRDefault="00B6545A">
      <w:pPr>
        <w:spacing w:after="114" w:line="259" w:lineRule="auto"/>
        <w:ind w:right="-6"/>
        <w:jc w:val="right"/>
      </w:pPr>
      <w:r>
        <w:t xml:space="preserve">Por otro lado, esta Municipalidad en ocasión de la </w:t>
      </w:r>
    </w:p>
    <w:p w14:paraId="7A4DE73B" w14:textId="77777777" w:rsidR="00A306E3" w:rsidRDefault="00B6545A">
      <w:pPr>
        <w:ind w:left="-5" w:right="-8"/>
      </w:pPr>
      <w:r>
        <w:t xml:space="preserve">contestación de demanda ya realizó toda una explicación en torno al art. 28° de la Constitución Nacional. Sobre el particular, amerita además destacar que, a diferencia de lo sostenido por la actora, el Estado es perfectamente capaz de reglamentar </w:t>
      </w:r>
    </w:p>
    <w:p w14:paraId="19ACBA9F" w14:textId="77777777" w:rsidR="00A306E3" w:rsidRDefault="00A306E3">
      <w:pPr>
        <w:sectPr w:rsidR="00A306E3">
          <w:footerReference w:type="even" r:id="rId7"/>
          <w:footerReference w:type="default" r:id="rId8"/>
          <w:footerReference w:type="first" r:id="rId9"/>
          <w:pgSz w:w="11906" w:h="16838"/>
          <w:pgMar w:top="2441" w:right="1435" w:bottom="1442" w:left="2268" w:header="720" w:footer="722" w:gutter="0"/>
          <w:cols w:space="720"/>
        </w:sectPr>
      </w:pPr>
    </w:p>
    <w:p w14:paraId="128026BA" w14:textId="77777777" w:rsidR="00A306E3" w:rsidRDefault="00B6545A">
      <w:pPr>
        <w:ind w:left="-5" w:right="-8"/>
      </w:pPr>
      <w:r>
        <w:t xml:space="preserve">derechos en la medida que no se altere la esencia de las leyes. En el caso, no hay afrenta en modo alguno en contra del orden normativo, toda vez que se trata de una cuestión en el ámbito municipal que se encontraba pendiente justamente de ser regulada. Ahora bien, si el argumento de vulneración al art. 28 es por el límite al ejercicio del poder de policía, entonces, cabe preguntarse ¿cómo articula la contraria la interacción entre el poder de policía y la supuesta afrenta a la competencia?, pues no sería aceptable pensar al Estado Municipal desde una doble óptica incompatible entre sí, esto es: detentar el contralor y la aplicación, y por otro lado ser competidor económico en el mercado. </w:t>
      </w:r>
      <w:r>
        <w:rPr>
          <w:color w:val="FF0000"/>
        </w:rPr>
        <w:t xml:space="preserve"> </w:t>
      </w:r>
    </w:p>
    <w:p w14:paraId="595A738D" w14:textId="77777777" w:rsidR="00A306E3" w:rsidRDefault="00B6545A">
      <w:pPr>
        <w:spacing w:after="114" w:line="259" w:lineRule="auto"/>
        <w:ind w:right="-6"/>
        <w:jc w:val="right"/>
      </w:pPr>
      <w:r>
        <w:t xml:space="preserve">Así las cosas, mientras la regulación no suprima la </w:t>
      </w:r>
    </w:p>
    <w:p w14:paraId="7E0FDB16" w14:textId="77777777" w:rsidR="00A306E3" w:rsidRDefault="00B6545A">
      <w:pPr>
        <w:ind w:left="-5" w:right="-8"/>
      </w:pPr>
      <w:r>
        <w:t xml:space="preserve">posibilidad de competir ni elimine el derecho, no hay violación del art. 28, sino una mera reglamentación perfectamente legítima. </w:t>
      </w:r>
    </w:p>
    <w:p w14:paraId="4154C64A" w14:textId="77777777" w:rsidR="00A306E3" w:rsidRDefault="00B6545A">
      <w:pPr>
        <w:spacing w:after="120" w:line="259" w:lineRule="auto"/>
        <w:ind w:left="2835" w:right="0" w:firstLine="0"/>
        <w:jc w:val="left"/>
      </w:pPr>
      <w:r>
        <w:t xml:space="preserve"> </w:t>
      </w:r>
    </w:p>
    <w:p w14:paraId="6C47E2EA" w14:textId="77777777" w:rsidR="00A306E3" w:rsidRDefault="00B6545A">
      <w:pPr>
        <w:spacing w:after="110" w:line="259" w:lineRule="auto"/>
        <w:ind w:right="201"/>
        <w:jc w:val="right"/>
      </w:pPr>
      <w:r>
        <w:rPr>
          <w:b/>
        </w:rPr>
        <w:t>SOBRE LA SUPREMACÍA CONSTITUCIONAL</w:t>
      </w:r>
      <w:r>
        <w:t xml:space="preserve"> </w:t>
      </w:r>
    </w:p>
    <w:p w14:paraId="1CD929A4" w14:textId="77777777" w:rsidR="00A306E3" w:rsidRDefault="00B6545A">
      <w:pPr>
        <w:spacing w:after="114" w:line="259" w:lineRule="auto"/>
        <w:ind w:right="-6"/>
        <w:jc w:val="right"/>
      </w:pPr>
      <w:r>
        <w:t xml:space="preserve">La actora parte de una premisa completamente ilógica, </w:t>
      </w:r>
    </w:p>
    <w:p w14:paraId="521F2B01" w14:textId="77777777" w:rsidR="00A306E3" w:rsidRDefault="00B6545A">
      <w:pPr>
        <w:ind w:left="-5" w:right="-8"/>
      </w:pPr>
      <w:r>
        <w:t xml:space="preserve">atento la manifiesta imposibilidad jurídica que ella representa. Sostiene que, ante la Ordenanza existirían dos alternativas claras: la primera, que la Constitución prevalece sobre cualquier Ley que le sea contraria. Hasta ahí, correcto o acertado. La segunda, que la legislación ordinaria puede modificar la Carta Magna mediante una Ordenanza o Ley, lo que deviene equivocado, o bien, un disparate jurídico. Ya es cuestión resuelta por los doctrinarios del derecho constitucional argentino la discusión acerca de si, el derecho interno tiene o no, el mismo valor que el Derecho Internacional. En particular, respecto del largo derrotero que ha tenido la CSJN a lo largo de su historia jurisprudencial. Esto es: es cierto que la C.N. prevalece sobre cualquier Ley que le sea contraria. Pero también lo es, que los Tratados Internacionales del artículo 75, inc. 22, tienen igual jerarquía constitucional. “Dado que la República Argentina es un país federal, las normas de ese nivel -Constitución, leyes de la Nación que se dicten en su consecuencia por el Congreso y los Tratados con las Potencias Extranjeras- están por encima del ordenamiento local, que </w:t>
      </w:r>
      <w:r>
        <w:rPr>
          <w:i/>
        </w:rPr>
        <w:t>debe</w:t>
      </w:r>
      <w:r>
        <w:t xml:space="preserve"> subordinarse a esa </w:t>
      </w:r>
      <w:r>
        <w:rPr>
          <w:i/>
        </w:rPr>
        <w:t xml:space="preserve">supremacía (...) A la </w:t>
      </w:r>
      <w:r>
        <w:t>Convención Reformadora de 1994 se le plantearon varias alternativas a la hora de definir la supremacía en el ordenamiento jurídico argentino, pero los convencionales optaron por mantener la preeminencia de la Constitución por sobre todo el ordenamiento jurídico argentino- unida a los Tratados de Derechos Humanos enumerados en aquella, conforme a las condiciones que allí se establecían- y la superioridad de los Tratados por sobre las leyes</w:t>
      </w:r>
      <w:r>
        <w:rPr>
          <w:i/>
        </w:rPr>
        <w:t>”</w:t>
      </w:r>
      <w:r>
        <w:rPr>
          <w:i/>
          <w:vertAlign w:val="superscript"/>
        </w:rPr>
        <w:footnoteReference w:id="10"/>
      </w:r>
      <w:r>
        <w:t xml:space="preserve">. Por lo que todo intento de desmerecer la Ordenanza a tenor de que “...no existe fundamento constitucional que permita la formación de un modelo paralelo de transporte público impropio mediante una Ordenanza Municipal”, no encuentra sustento alguno. A tenor de los artículos 8; 22, inc. a) y 35, inc. a) de la Carta Municipal (Ley Nº 6534); 170, 171, 176 de la Constitución de la Provincia de Salta, y artículos 1, 5, 121, 123 y, sobre todo, el artículo 28, todos estos últimos de la Constitución Nacional, toda vez que, como ya se dijera, el Municipio es perfectamente competente en la sanción de Ordenanzas cuyo objeto sea la reglamentación de derechos que leyes superiores puedan proveer, siempre y cuando las mismas no alteren la esencia de esos derechos. Sobre este punto, ya nos hemos referido ut supra.      </w:t>
      </w:r>
      <w:r>
        <w:rPr>
          <w:b/>
        </w:rPr>
        <w:t xml:space="preserve"> </w:t>
      </w:r>
    </w:p>
    <w:p w14:paraId="10C1A892" w14:textId="77777777" w:rsidR="00A306E3" w:rsidRDefault="00B6545A">
      <w:pPr>
        <w:spacing w:after="115" w:line="259" w:lineRule="auto"/>
        <w:ind w:left="2835" w:right="0" w:firstLine="0"/>
        <w:jc w:val="left"/>
      </w:pPr>
      <w:r>
        <w:rPr>
          <w:b/>
        </w:rPr>
        <w:t xml:space="preserve"> </w:t>
      </w:r>
    </w:p>
    <w:p w14:paraId="706CAF65" w14:textId="77777777" w:rsidR="00A306E3" w:rsidRDefault="00B6545A">
      <w:pPr>
        <w:pStyle w:val="Ttulo1"/>
        <w:spacing w:after="0" w:line="356" w:lineRule="auto"/>
        <w:ind w:left="-15" w:firstLine="2835"/>
      </w:pPr>
      <w:r>
        <w:t>SOBRE LA SUPUESTA ELIMINACIÓN DE LA COMPETENCIA Y MONOPOLIZACIÓN DEL SERVICIO</w:t>
      </w:r>
      <w:r>
        <w:rPr>
          <w:b w:val="0"/>
        </w:rPr>
        <w:t xml:space="preserve"> </w:t>
      </w:r>
    </w:p>
    <w:p w14:paraId="1491A50A" w14:textId="77777777" w:rsidR="00A306E3" w:rsidRDefault="00B6545A">
      <w:pPr>
        <w:spacing w:after="112" w:line="259" w:lineRule="auto"/>
        <w:ind w:left="2835" w:right="0" w:firstLine="0"/>
        <w:jc w:val="left"/>
      </w:pPr>
      <w:r>
        <w:t xml:space="preserve"> </w:t>
      </w:r>
    </w:p>
    <w:p w14:paraId="327520F6" w14:textId="77777777" w:rsidR="00A306E3" w:rsidRDefault="00B6545A">
      <w:pPr>
        <w:spacing w:after="114" w:line="259" w:lineRule="auto"/>
        <w:ind w:right="-6"/>
        <w:jc w:val="right"/>
      </w:pPr>
      <w:r>
        <w:t xml:space="preserve">La actora aduce que la estrategia de venta ha sido </w:t>
      </w:r>
    </w:p>
    <w:p w14:paraId="527E5D46" w14:textId="77777777" w:rsidR="00A306E3" w:rsidRDefault="00B6545A">
      <w:pPr>
        <w:ind w:left="-5" w:right="-8"/>
      </w:pPr>
      <w:r>
        <w:t xml:space="preserve">adoptada deliberadamente por las plataformas digitales con el único propósito de irrumpir en el mercado, eliminar la competencia y consolidar un monopolio del servicio. Sostiene que habría posición dominante de las plataformas y abuso de esa posición, causándose así un perjuicio al interés económico general. Hacemos notar pues, que en caso de percibir que se encuentra sufriendo un perjuicio por parte de las empresas que prestan el servicio bajo análisis, la Acción Popular de Inconstitucionalidad no sería la vía pertinente para encausar dicha pretensión. Las eventuales reclamaciones que se realizaran a las empresas, no son extensibles al </w:t>
      </w:r>
    </w:p>
    <w:p w14:paraId="54CD3373" w14:textId="77777777" w:rsidR="00A306E3" w:rsidRDefault="00B6545A">
      <w:pPr>
        <w:ind w:left="-5" w:right="-8"/>
      </w:pPr>
      <w:r>
        <w:t xml:space="preserve">Municipio por cuanto no existe entre el ente estatal y aquellas, relación comercial, contractual y de ninguna clase. En suma, la Municipalidad no se beneficia económicamente del servicio que se presta a través de éstas aplicaciones.   </w:t>
      </w:r>
    </w:p>
    <w:p w14:paraId="5F3BA7A1" w14:textId="77777777" w:rsidR="00A306E3" w:rsidRDefault="00B6545A">
      <w:pPr>
        <w:ind w:left="-15" w:right="-8" w:firstLine="2835"/>
      </w:pPr>
      <w:r>
        <w:t xml:space="preserve">Conforme el artículo 22, incs. t) y l), el Concejo Deliberante tiene las competencias para la sanción del Código de Tránsito y para dictar el Reglamento Municipal de Tránsito, respectivamente. Por lo que lejos de resultar inconstitucional la Ordenanza Nº 16.377 cuando menciona en este punto, el Municipio, como ya se dijo, se encuentra actuando en el marco de las atribuciones otorgadas por Carta Municipal, regulando, con independencia del soporte tecnológico del que se trate, la actividad de transporte de pasajeros de punto a punto. Esta Ordenanza persigue un fin legítimo, esto es, ordenar el tránsito de una actividad que ya se encontraba siendo puesta en práctica, no fija previsiones ni tampoco establece cargas desmedidas. A contrario sensu, se sirve de medios adecuados para su cometido, tales como la regulación de la habilitación, la extensión del permiso, la antigüedad del rodado o vehículo prestatario, etc., todos requisitos razonables y proporcionales y sin distinciones arbitrarias o </w:t>
      </w:r>
      <w:hyperlink r:id="rId10">
        <w:r>
          <w:t>desiguale</w:t>
        </w:r>
      </w:hyperlink>
      <w:hyperlink r:id="rId11">
        <w:r>
          <w:t>s</w:t>
        </w:r>
      </w:hyperlink>
      <w:hyperlink r:id="rId12">
        <w:r>
          <w:rPr>
            <w:color w:val="1155CC"/>
          </w:rPr>
          <w:t>.</w:t>
        </w:r>
      </w:hyperlink>
      <w:hyperlink r:id="rId13">
        <w:r>
          <w:rPr>
            <w:color w:val="1155CC"/>
          </w:rPr>
          <w:t xml:space="preserve"> </w:t>
        </w:r>
      </w:hyperlink>
      <w:hyperlink r:id="rId14">
        <w:r>
          <w:t>El</w:t>
        </w:r>
      </w:hyperlink>
      <w:hyperlink r:id="rId15">
        <w:r>
          <w:t xml:space="preserve"> </w:t>
        </w:r>
      </w:hyperlink>
      <w:r>
        <w:t xml:space="preserve">Municipio no solo puede regular sino que </w:t>
      </w:r>
      <w:r>
        <w:rPr>
          <w:b/>
        </w:rPr>
        <w:t>debe regular</w:t>
      </w:r>
      <w:r>
        <w:t xml:space="preserve"> (Ordenanzas Nº 13.538 y Nº 14.145, ambas de adhesión a la Ley Nacional de Tránsito Nº 24.449). </w:t>
      </w:r>
    </w:p>
    <w:p w14:paraId="0E9AB810" w14:textId="77777777" w:rsidR="00A306E3" w:rsidRDefault="00B6545A">
      <w:pPr>
        <w:spacing w:after="117" w:line="259" w:lineRule="auto"/>
        <w:ind w:left="2835" w:right="0" w:firstLine="0"/>
        <w:jc w:val="left"/>
      </w:pPr>
      <w:r>
        <w:t xml:space="preserve"> </w:t>
      </w:r>
    </w:p>
    <w:p w14:paraId="6093F8DB" w14:textId="77777777" w:rsidR="00A306E3" w:rsidRDefault="00B6545A">
      <w:pPr>
        <w:pStyle w:val="Ttulo1"/>
        <w:spacing w:after="0" w:line="358" w:lineRule="auto"/>
        <w:ind w:left="-15" w:firstLine="2835"/>
      </w:pPr>
      <w:r>
        <w:t>DE LA INVERSIÓN DE LA CARGA DE LA PRUEBA</w:t>
      </w:r>
      <w:r>
        <w:rPr>
          <w:b w:val="0"/>
        </w:rPr>
        <w:t xml:space="preserve"> </w:t>
      </w:r>
    </w:p>
    <w:p w14:paraId="27BEC87F" w14:textId="77777777" w:rsidR="00A306E3" w:rsidRDefault="00B6545A">
      <w:pPr>
        <w:spacing w:after="114" w:line="259" w:lineRule="auto"/>
        <w:ind w:right="-6"/>
        <w:jc w:val="right"/>
      </w:pPr>
      <w:r>
        <w:t xml:space="preserve">Si bien la actora denuncia en su planteo que la actividad </w:t>
      </w:r>
    </w:p>
    <w:p w14:paraId="5D1E68EE" w14:textId="77777777" w:rsidR="00A306E3" w:rsidRDefault="00B6545A">
      <w:pPr>
        <w:spacing w:after="39"/>
        <w:ind w:left="-5" w:right="-8"/>
      </w:pPr>
      <w:r>
        <w:t xml:space="preserve">prestada a través de las aplicaciones implica prácticamente una competencia desleal, lo cierto y concreto es que en ningún momento ha demostrado (en números, claro), cuál sería eventualmente dicha cuantía. Es decir, que el pedido se limita a “atacar” la actividad reglada pero sin demostrar el supuesto perjuicio, lo que de ninguna manera, podría justificar una acción como la intentada. Asimismo, corresponde advertir que la responsabilidad del Estado, la que supuestamente sugiere que habría, cuando lo es por actividad legítima es de carácter excepcional. Pues, ha dicho la CSJN en Fallo </w:t>
      </w:r>
    </w:p>
    <w:p w14:paraId="72AC6686" w14:textId="77777777" w:rsidR="00A306E3" w:rsidRDefault="00B6545A">
      <w:pPr>
        <w:spacing w:line="368" w:lineRule="auto"/>
        <w:ind w:left="-5" w:right="0"/>
      </w:pPr>
      <w:r>
        <w:t xml:space="preserve">348:1450: </w:t>
      </w:r>
      <w:r>
        <w:rPr>
          <w:i/>
        </w:rPr>
        <w:t xml:space="preserve">“Que corresponde tener en cuenta que no toda lesión que se invoque encuentra respuesta en la responsabilidad del Estado por su actividad legítima; ello es así, habida cuenta que </w:t>
      </w:r>
      <w:r>
        <w:rPr>
          <w:b/>
          <w:i/>
        </w:rPr>
        <w:t>-como regla- el ejercicio regular por el Estado de sus poderes no constituye fuente de indemnización para los particulares</w:t>
      </w:r>
      <w:r>
        <w:rPr>
          <w:i/>
        </w:rPr>
        <w:t xml:space="preserve"> (arg. doct. Fallos: 258:322; 305:1045)</w:t>
      </w:r>
      <w:r>
        <w:t xml:space="preserve">” -   </w:t>
      </w:r>
    </w:p>
    <w:p w14:paraId="5AE60A61" w14:textId="77777777" w:rsidR="00A306E3" w:rsidRDefault="00B6545A">
      <w:pPr>
        <w:spacing w:after="115" w:line="259" w:lineRule="auto"/>
        <w:ind w:left="2845" w:right="-8"/>
      </w:pPr>
      <w:r>
        <w:t xml:space="preserve">Ya se dijo además, que el Municipio no es competidor, </w:t>
      </w:r>
    </w:p>
    <w:p w14:paraId="46291410" w14:textId="77777777" w:rsidR="00A306E3" w:rsidRDefault="00B6545A">
      <w:pPr>
        <w:ind w:left="-5" w:right="-8"/>
      </w:pPr>
      <w:r>
        <w:t xml:space="preserve">y tal como se ha sostenido, tampoco regula la actividad de los taxis y remises (lo hace AMT), sino que lo que hace es llevado a cabo en ejercicio de la función administrativa. Ergo no puede exigírsele que pruebe que no ha generado un daño (por aquello de la prueba diabólica). </w:t>
      </w:r>
    </w:p>
    <w:p w14:paraId="30F38813" w14:textId="77777777" w:rsidR="00A306E3" w:rsidRDefault="00B6545A">
      <w:pPr>
        <w:spacing w:after="117" w:line="259" w:lineRule="auto"/>
        <w:ind w:left="2835" w:right="0" w:firstLine="0"/>
        <w:jc w:val="left"/>
      </w:pPr>
      <w:r>
        <w:t xml:space="preserve"> </w:t>
      </w:r>
    </w:p>
    <w:p w14:paraId="09B807B7" w14:textId="77777777" w:rsidR="00A306E3" w:rsidRDefault="00B6545A">
      <w:pPr>
        <w:pStyle w:val="Ttulo1"/>
        <w:ind w:left="2845"/>
      </w:pPr>
      <w:r>
        <w:t>DE LA SUPUESTA DELEGACIÓN INDEBIDA</w:t>
      </w:r>
      <w:r>
        <w:rPr>
          <w:b w:val="0"/>
        </w:rPr>
        <w:t xml:space="preserve"> </w:t>
      </w:r>
    </w:p>
    <w:p w14:paraId="740C9D8B" w14:textId="77777777" w:rsidR="00A306E3" w:rsidRDefault="00B6545A">
      <w:pPr>
        <w:spacing w:after="113" w:line="259" w:lineRule="auto"/>
        <w:ind w:left="2845" w:right="-8"/>
      </w:pPr>
      <w:r>
        <w:t xml:space="preserve">Tal como ya fuera expuesto en la contestación, </w:t>
      </w:r>
      <w:r>
        <w:rPr>
          <w:i/>
        </w:rPr>
        <w:t xml:space="preserve">“Ahora </w:t>
      </w:r>
    </w:p>
    <w:p w14:paraId="2304C1D4" w14:textId="77777777" w:rsidR="00A306E3" w:rsidRDefault="00B6545A">
      <w:pPr>
        <w:spacing w:line="368" w:lineRule="auto"/>
        <w:ind w:left="-5" w:right="0"/>
      </w:pPr>
      <w:r>
        <w:rPr>
          <w:i/>
        </w:rPr>
        <w:t xml:space="preserve">bien, puesto frente a tales cuestionamientos corresponde apuntar que, tal como ha sido precisado supra, la Provincia mediante leyes Nº 6994 y 7322 ostenta competencia en lo relativo al ‘Servicio público propio e impropio de transporte’, siendo éstos los de taxis y remises. En todo transporte de personas que no encuadre en tales categorías, la autoridad competente continúa siendo el Municipio, como es el caso del transporte escolar o el servicio de transporte mediante plataformas digitales. </w:t>
      </w:r>
    </w:p>
    <w:p w14:paraId="088C9DE3" w14:textId="77777777" w:rsidR="00A306E3" w:rsidRDefault="00B6545A">
      <w:pPr>
        <w:spacing w:after="115" w:line="259" w:lineRule="auto"/>
        <w:ind w:left="-5" w:right="0"/>
      </w:pPr>
      <w:r>
        <w:rPr>
          <w:i/>
        </w:rPr>
        <w:t xml:space="preserve">Estamos ante potestades concurrentes de la Provincia con los Municipios. </w:t>
      </w:r>
      <w:r>
        <w:t xml:space="preserve"> </w:t>
      </w:r>
    </w:p>
    <w:p w14:paraId="1591C5F7" w14:textId="77777777" w:rsidR="00A306E3" w:rsidRDefault="00B6545A">
      <w:pPr>
        <w:spacing w:after="117" w:line="259" w:lineRule="auto"/>
        <w:ind w:left="2835" w:right="0" w:firstLine="0"/>
        <w:jc w:val="left"/>
      </w:pPr>
      <w:r>
        <w:t xml:space="preserve"> </w:t>
      </w:r>
    </w:p>
    <w:p w14:paraId="14644690" w14:textId="77777777" w:rsidR="00A306E3" w:rsidRDefault="00B6545A">
      <w:pPr>
        <w:spacing w:after="112" w:line="259" w:lineRule="auto"/>
        <w:ind w:left="2845" w:right="0"/>
        <w:jc w:val="left"/>
      </w:pPr>
      <w:r>
        <w:rPr>
          <w:b/>
        </w:rPr>
        <w:t xml:space="preserve">III.- Por lo expuesto, a la Excma. Corte solicito: </w:t>
      </w:r>
    </w:p>
    <w:p w14:paraId="65F3ADC5" w14:textId="77777777" w:rsidR="00A306E3" w:rsidRDefault="00B6545A">
      <w:pPr>
        <w:numPr>
          <w:ilvl w:val="0"/>
          <w:numId w:val="1"/>
        </w:numPr>
        <w:spacing w:after="114" w:line="259" w:lineRule="auto"/>
        <w:ind w:right="417" w:firstLine="2521"/>
      </w:pPr>
      <w:r>
        <w:t xml:space="preserve">Tenga por presentado alegato en tiempo y forma; y </w:t>
      </w:r>
    </w:p>
    <w:p w14:paraId="505E45E4" w14:textId="77777777" w:rsidR="00A306E3" w:rsidRDefault="00B6545A">
      <w:pPr>
        <w:numPr>
          <w:ilvl w:val="0"/>
          <w:numId w:val="1"/>
        </w:numPr>
        <w:ind w:right="417" w:firstLine="2521"/>
      </w:pPr>
      <w:r>
        <w:t xml:space="preserve">Oportunamente, se rechace la Acción Popular de Inconstitucionalidad interpuesta por los actores, con costas.- </w:t>
      </w:r>
    </w:p>
    <w:p w14:paraId="4BAC282D" w14:textId="77777777" w:rsidR="00A306E3" w:rsidRDefault="00B6545A">
      <w:pPr>
        <w:spacing w:after="120" w:line="259" w:lineRule="auto"/>
        <w:ind w:left="2881" w:right="0" w:firstLine="0"/>
        <w:jc w:val="left"/>
      </w:pPr>
      <w:r>
        <w:t xml:space="preserve"> </w:t>
      </w:r>
    </w:p>
    <w:p w14:paraId="268E12DA" w14:textId="77777777" w:rsidR="00A306E3" w:rsidRDefault="00B6545A">
      <w:pPr>
        <w:pStyle w:val="Ttulo1"/>
        <w:ind w:left="2891"/>
      </w:pPr>
      <w:r>
        <w:t xml:space="preserve">SE PROVEA DE CONFORMIDAD </w:t>
      </w:r>
    </w:p>
    <w:p w14:paraId="3375FA21" w14:textId="77777777" w:rsidR="00A306E3" w:rsidRDefault="00B6545A">
      <w:pPr>
        <w:spacing w:after="33" w:line="259" w:lineRule="auto"/>
        <w:ind w:left="856" w:right="1405"/>
        <w:jc w:val="center"/>
      </w:pPr>
      <w:r>
        <w:rPr>
          <w:b/>
        </w:rPr>
        <w:t xml:space="preserve"> SERÁ JUSTICIA </w:t>
      </w:r>
    </w:p>
    <w:p w14:paraId="5009A206" w14:textId="77777777" w:rsidR="00A306E3" w:rsidRDefault="00B6545A">
      <w:pPr>
        <w:spacing w:after="75" w:line="259" w:lineRule="auto"/>
        <w:ind w:left="518" w:right="0"/>
        <w:jc w:val="center"/>
      </w:pPr>
      <w:r>
        <w:rPr>
          <w:sz w:val="16"/>
        </w:rPr>
        <w:t xml:space="preserve">Naldo Martín González </w:t>
      </w:r>
    </w:p>
    <w:p w14:paraId="1C999873" w14:textId="77777777" w:rsidR="00A306E3" w:rsidRDefault="00B6545A">
      <w:pPr>
        <w:spacing w:after="149" w:line="259" w:lineRule="auto"/>
        <w:ind w:left="518" w:right="240"/>
        <w:jc w:val="center"/>
      </w:pPr>
      <w:r>
        <w:rPr>
          <w:sz w:val="16"/>
        </w:rPr>
        <w:t xml:space="preserve">Abogado mat. 2313 </w:t>
      </w:r>
    </w:p>
    <w:p w14:paraId="4B7A2634" w14:textId="77777777" w:rsidR="00A306E3" w:rsidRDefault="00B6545A">
      <w:pPr>
        <w:spacing w:after="115" w:line="259" w:lineRule="auto"/>
        <w:ind w:left="2835" w:right="0" w:firstLine="0"/>
        <w:jc w:val="left"/>
      </w:pPr>
      <w:r>
        <w:t xml:space="preserve"> </w:t>
      </w:r>
    </w:p>
    <w:p w14:paraId="28187C19" w14:textId="77777777" w:rsidR="00A306E3" w:rsidRDefault="00B6545A">
      <w:pPr>
        <w:spacing w:after="112" w:line="259" w:lineRule="auto"/>
        <w:ind w:left="2835" w:right="0" w:firstLine="0"/>
        <w:jc w:val="left"/>
      </w:pPr>
      <w:r>
        <w:t xml:space="preserve">    </w:t>
      </w:r>
    </w:p>
    <w:p w14:paraId="4E5D9170" w14:textId="77777777" w:rsidR="00A306E3" w:rsidRDefault="00B6545A">
      <w:pPr>
        <w:spacing w:after="115" w:line="259" w:lineRule="auto"/>
        <w:ind w:left="2835" w:right="0" w:firstLine="0"/>
        <w:jc w:val="left"/>
      </w:pPr>
      <w:r>
        <w:t xml:space="preserve"> </w:t>
      </w:r>
    </w:p>
    <w:p w14:paraId="76A16507" w14:textId="77777777" w:rsidR="00A306E3" w:rsidRDefault="00B6545A">
      <w:pPr>
        <w:spacing w:after="112" w:line="259" w:lineRule="auto"/>
        <w:ind w:left="2835" w:right="0" w:firstLine="0"/>
        <w:jc w:val="left"/>
      </w:pPr>
      <w:r>
        <w:t xml:space="preserve"> </w:t>
      </w:r>
    </w:p>
    <w:p w14:paraId="28ADBA9A" w14:textId="77777777" w:rsidR="00A306E3" w:rsidRDefault="00B6545A">
      <w:pPr>
        <w:spacing w:after="0" w:line="259" w:lineRule="auto"/>
        <w:ind w:left="2835" w:right="0" w:firstLine="0"/>
        <w:jc w:val="left"/>
      </w:pPr>
      <w:r>
        <w:t xml:space="preserve"> </w:t>
      </w:r>
    </w:p>
    <w:sectPr w:rsidR="00A306E3">
      <w:footerReference w:type="even" r:id="rId16"/>
      <w:footerReference w:type="default" r:id="rId17"/>
      <w:footerReference w:type="first" r:id="rId18"/>
      <w:pgSz w:w="11906" w:h="16838"/>
      <w:pgMar w:top="2441" w:right="1437" w:bottom="1442" w:left="2268" w:header="720" w:footer="7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11075" w14:textId="77777777" w:rsidR="00B6545A" w:rsidRDefault="00B6545A">
      <w:pPr>
        <w:spacing w:after="0" w:line="240" w:lineRule="auto"/>
      </w:pPr>
      <w:r>
        <w:separator/>
      </w:r>
    </w:p>
  </w:endnote>
  <w:endnote w:type="continuationSeparator" w:id="0">
    <w:p w14:paraId="675FBCC4" w14:textId="77777777" w:rsidR="00B6545A" w:rsidRDefault="00B65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ADE82" w14:textId="77777777" w:rsidR="00A306E3" w:rsidRDefault="00B6545A">
    <w:pPr>
      <w:spacing w:after="0" w:line="259" w:lineRule="auto"/>
      <w:ind w:left="0" w:right="0" w:firstLine="0"/>
      <w:jc w:val="left"/>
    </w:pPr>
    <w:r>
      <w:rPr>
        <w:sz w:val="22"/>
      </w:rPr>
      <w:t xml:space="preserve">Página </w:t>
    </w:r>
    <w:r>
      <w:fldChar w:fldCharType="begin"/>
    </w:r>
    <w:r>
      <w:instrText xml:space="preserve"> PAGE   \* MERGEFORMAT </w:instrText>
    </w:r>
    <w:r>
      <w:fldChar w:fldCharType="separate"/>
    </w:r>
    <w:r>
      <w:rPr>
        <w:b/>
      </w:rPr>
      <w:t>1</w:t>
    </w:r>
    <w:r>
      <w:rPr>
        <w:b/>
      </w:rPr>
      <w:fldChar w:fldCharType="end"/>
    </w:r>
    <w:r>
      <w:rPr>
        <w:sz w:val="22"/>
      </w:rPr>
      <w:t xml:space="preserve"> de </w:t>
    </w:r>
    <w:fldSimple w:instr=" NUMPAGES   \* MERGEFORMAT ">
      <w:r>
        <w:rPr>
          <w:b/>
        </w:rPr>
        <w:t>13</w:t>
      </w:r>
    </w:fldSimple>
    <w:r>
      <w:rPr>
        <w:sz w:val="22"/>
      </w:rPr>
      <w:t xml:space="preserve"> </w:t>
    </w:r>
  </w:p>
  <w:p w14:paraId="4DB6F9DE" w14:textId="77777777" w:rsidR="00A306E3" w:rsidRDefault="00B6545A">
    <w:pPr>
      <w:spacing w:after="0" w:line="259" w:lineRule="auto"/>
      <w:ind w:left="0" w:right="0" w:firstLine="0"/>
      <w:jc w:val="left"/>
    </w:pPr>
    <w:r>
      <w:rPr>
        <w:rFonts w:ascii="Arial" w:eastAsia="Arial" w:hAnsi="Arial" w:cs="Arial"/>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39BF9" w14:textId="77777777" w:rsidR="00A306E3" w:rsidRDefault="00B6545A">
    <w:pPr>
      <w:spacing w:after="0" w:line="259" w:lineRule="auto"/>
      <w:ind w:left="0" w:right="0" w:firstLine="0"/>
      <w:jc w:val="left"/>
    </w:pPr>
    <w:r>
      <w:rPr>
        <w:sz w:val="22"/>
      </w:rPr>
      <w:t xml:space="preserve">Página </w:t>
    </w:r>
    <w:r>
      <w:fldChar w:fldCharType="begin"/>
    </w:r>
    <w:r>
      <w:instrText xml:space="preserve"> PAGE   \* MERGEFORMAT </w:instrText>
    </w:r>
    <w:r>
      <w:fldChar w:fldCharType="separate"/>
    </w:r>
    <w:r w:rsidR="00680FA9" w:rsidRPr="00680FA9">
      <w:rPr>
        <w:b/>
        <w:noProof/>
      </w:rPr>
      <w:t>10</w:t>
    </w:r>
    <w:r>
      <w:rPr>
        <w:b/>
      </w:rPr>
      <w:fldChar w:fldCharType="end"/>
    </w:r>
    <w:r>
      <w:rPr>
        <w:sz w:val="22"/>
      </w:rPr>
      <w:t xml:space="preserve"> de </w:t>
    </w:r>
    <w:fldSimple w:instr=" NUMPAGES   \* MERGEFORMAT ">
      <w:r w:rsidR="00680FA9" w:rsidRPr="00680FA9">
        <w:rPr>
          <w:b/>
          <w:noProof/>
        </w:rPr>
        <w:t>14</w:t>
      </w:r>
    </w:fldSimple>
    <w:r>
      <w:rPr>
        <w:sz w:val="22"/>
      </w:rPr>
      <w:t xml:space="preserve"> </w:t>
    </w:r>
  </w:p>
  <w:p w14:paraId="552367C3" w14:textId="77777777" w:rsidR="00A306E3" w:rsidRDefault="00B6545A">
    <w:pPr>
      <w:spacing w:after="0" w:line="259" w:lineRule="auto"/>
      <w:ind w:left="0" w:right="0" w:firstLine="0"/>
      <w:jc w:val="left"/>
    </w:pPr>
    <w:r>
      <w:rPr>
        <w:rFonts w:ascii="Arial" w:eastAsia="Arial" w:hAnsi="Arial" w:cs="Arial"/>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31B22" w14:textId="77777777" w:rsidR="00A306E3" w:rsidRDefault="00B6545A">
    <w:pPr>
      <w:spacing w:after="0" w:line="259" w:lineRule="auto"/>
      <w:ind w:left="0" w:right="0" w:firstLine="0"/>
      <w:jc w:val="left"/>
    </w:pPr>
    <w:r>
      <w:rPr>
        <w:sz w:val="22"/>
      </w:rPr>
      <w:t xml:space="preserve">Página </w:t>
    </w:r>
    <w:r>
      <w:fldChar w:fldCharType="begin"/>
    </w:r>
    <w:r>
      <w:instrText xml:space="preserve"> PAGE   \* MERGEFORMAT </w:instrText>
    </w:r>
    <w:r>
      <w:fldChar w:fldCharType="separate"/>
    </w:r>
    <w:r>
      <w:rPr>
        <w:b/>
      </w:rPr>
      <w:t>1</w:t>
    </w:r>
    <w:r>
      <w:rPr>
        <w:b/>
      </w:rPr>
      <w:fldChar w:fldCharType="end"/>
    </w:r>
    <w:r>
      <w:rPr>
        <w:sz w:val="22"/>
      </w:rPr>
      <w:t xml:space="preserve"> de </w:t>
    </w:r>
    <w:fldSimple w:instr=" NUMPAGES   \* MERGEFORMAT ">
      <w:r>
        <w:rPr>
          <w:b/>
        </w:rPr>
        <w:t>13</w:t>
      </w:r>
    </w:fldSimple>
    <w:r>
      <w:rPr>
        <w:sz w:val="22"/>
      </w:rPr>
      <w:t xml:space="preserve"> </w:t>
    </w:r>
  </w:p>
  <w:p w14:paraId="3C84AAA3" w14:textId="77777777" w:rsidR="00A306E3" w:rsidRDefault="00B6545A">
    <w:pPr>
      <w:spacing w:after="0" w:line="259" w:lineRule="auto"/>
      <w:ind w:left="0" w:right="0" w:firstLine="0"/>
      <w:jc w:val="left"/>
    </w:pPr>
    <w:r>
      <w:rPr>
        <w:rFonts w:ascii="Arial" w:eastAsia="Arial" w:hAnsi="Arial" w:cs="Arial"/>
        <w:sz w:val="22"/>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E842" w14:textId="77777777" w:rsidR="00A306E3" w:rsidRDefault="00B6545A">
    <w:pPr>
      <w:spacing w:after="0" w:line="259" w:lineRule="auto"/>
      <w:ind w:left="0" w:right="0" w:firstLine="0"/>
      <w:jc w:val="left"/>
    </w:pPr>
    <w:r>
      <w:rPr>
        <w:sz w:val="22"/>
      </w:rPr>
      <w:t xml:space="preserve">Página </w:t>
    </w:r>
    <w:r>
      <w:fldChar w:fldCharType="begin"/>
    </w:r>
    <w:r>
      <w:instrText xml:space="preserve"> PAGE   \* MERGEFORMAT </w:instrText>
    </w:r>
    <w:r>
      <w:fldChar w:fldCharType="separate"/>
    </w:r>
    <w:r>
      <w:rPr>
        <w:b/>
      </w:rPr>
      <w:t>10</w:t>
    </w:r>
    <w:r>
      <w:rPr>
        <w:b/>
      </w:rPr>
      <w:fldChar w:fldCharType="end"/>
    </w:r>
    <w:r>
      <w:rPr>
        <w:sz w:val="22"/>
      </w:rPr>
      <w:t xml:space="preserve"> de </w:t>
    </w:r>
    <w:fldSimple w:instr=" NUMPAGES   \* MERGEFORMAT ">
      <w:r>
        <w:rPr>
          <w:b/>
        </w:rPr>
        <w:t>13</w:t>
      </w:r>
    </w:fldSimple>
    <w:r>
      <w:rPr>
        <w:sz w:val="22"/>
      </w:rPr>
      <w:t xml:space="preserve"> </w:t>
    </w:r>
  </w:p>
  <w:p w14:paraId="625BFC86" w14:textId="77777777" w:rsidR="00A306E3" w:rsidRDefault="00B6545A">
    <w:pPr>
      <w:spacing w:after="0" w:line="259" w:lineRule="auto"/>
      <w:ind w:left="0" w:right="0" w:firstLine="0"/>
      <w:jc w:val="left"/>
    </w:pPr>
    <w:r>
      <w:rPr>
        <w:rFonts w:ascii="Arial" w:eastAsia="Arial" w:hAnsi="Arial" w:cs="Arial"/>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42089" w14:textId="77777777" w:rsidR="00A306E3" w:rsidRDefault="00B6545A">
    <w:pPr>
      <w:spacing w:after="0" w:line="259" w:lineRule="auto"/>
      <w:ind w:left="0" w:right="0" w:firstLine="0"/>
      <w:jc w:val="left"/>
    </w:pPr>
    <w:r>
      <w:rPr>
        <w:sz w:val="22"/>
      </w:rPr>
      <w:t xml:space="preserve">Página </w:t>
    </w:r>
    <w:r>
      <w:fldChar w:fldCharType="begin"/>
    </w:r>
    <w:r>
      <w:instrText xml:space="preserve"> PAGE   \* MERGEFORMAT </w:instrText>
    </w:r>
    <w:r>
      <w:fldChar w:fldCharType="separate"/>
    </w:r>
    <w:r w:rsidR="00680FA9" w:rsidRPr="00680FA9">
      <w:rPr>
        <w:b/>
        <w:noProof/>
      </w:rPr>
      <w:t>14</w:t>
    </w:r>
    <w:r>
      <w:rPr>
        <w:b/>
      </w:rPr>
      <w:fldChar w:fldCharType="end"/>
    </w:r>
    <w:r>
      <w:rPr>
        <w:sz w:val="22"/>
      </w:rPr>
      <w:t xml:space="preserve"> de </w:t>
    </w:r>
    <w:fldSimple w:instr=" NUMPAGES   \* MERGEFORMAT ">
      <w:r w:rsidR="00680FA9" w:rsidRPr="00680FA9">
        <w:rPr>
          <w:b/>
          <w:noProof/>
        </w:rPr>
        <w:t>14</w:t>
      </w:r>
    </w:fldSimple>
    <w:r>
      <w:rPr>
        <w:sz w:val="22"/>
      </w:rPr>
      <w:t xml:space="preserve"> </w:t>
    </w:r>
  </w:p>
  <w:p w14:paraId="24D0C79E" w14:textId="77777777" w:rsidR="00A306E3" w:rsidRDefault="00B6545A">
    <w:pPr>
      <w:spacing w:after="0" w:line="259" w:lineRule="auto"/>
      <w:ind w:left="0" w:right="0" w:firstLine="0"/>
      <w:jc w:val="left"/>
    </w:pPr>
    <w:r>
      <w:rPr>
        <w:rFonts w:ascii="Arial" w:eastAsia="Arial" w:hAnsi="Arial" w:cs="Arial"/>
        <w:sz w:val="2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EEBFC" w14:textId="77777777" w:rsidR="00A306E3" w:rsidRDefault="00B6545A">
    <w:pPr>
      <w:spacing w:after="0" w:line="259" w:lineRule="auto"/>
      <w:ind w:left="0" w:right="0" w:firstLine="0"/>
      <w:jc w:val="left"/>
    </w:pPr>
    <w:r>
      <w:rPr>
        <w:sz w:val="22"/>
      </w:rPr>
      <w:t xml:space="preserve">Página </w:t>
    </w:r>
    <w:r>
      <w:fldChar w:fldCharType="begin"/>
    </w:r>
    <w:r>
      <w:instrText xml:space="preserve"> PAGE   \* MERGEFORMAT </w:instrText>
    </w:r>
    <w:r>
      <w:fldChar w:fldCharType="separate"/>
    </w:r>
    <w:r>
      <w:rPr>
        <w:b/>
      </w:rPr>
      <w:t>10</w:t>
    </w:r>
    <w:r>
      <w:rPr>
        <w:b/>
      </w:rPr>
      <w:fldChar w:fldCharType="end"/>
    </w:r>
    <w:r>
      <w:rPr>
        <w:sz w:val="22"/>
      </w:rPr>
      <w:t xml:space="preserve"> de </w:t>
    </w:r>
    <w:fldSimple w:instr=" NUMPAGES   \* MERGEFORMAT ">
      <w:r>
        <w:rPr>
          <w:b/>
        </w:rPr>
        <w:t>13</w:t>
      </w:r>
    </w:fldSimple>
    <w:r>
      <w:rPr>
        <w:sz w:val="22"/>
      </w:rPr>
      <w:t xml:space="preserve"> </w:t>
    </w:r>
  </w:p>
  <w:p w14:paraId="05D01F02" w14:textId="77777777" w:rsidR="00A306E3" w:rsidRDefault="00B6545A">
    <w:pPr>
      <w:spacing w:after="0" w:line="259" w:lineRule="auto"/>
      <w:ind w:left="0" w:right="0" w:firstLine="0"/>
      <w:jc w:val="left"/>
    </w:pPr>
    <w:r>
      <w:rPr>
        <w:rFonts w:ascii="Arial" w:eastAsia="Arial" w:hAnsi="Arial" w:cs="Arial"/>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FD69B5" w14:textId="77777777" w:rsidR="00B6545A" w:rsidRDefault="00B6545A">
      <w:pPr>
        <w:spacing w:after="0" w:line="272" w:lineRule="auto"/>
        <w:ind w:left="0" w:right="0" w:firstLine="0"/>
        <w:jc w:val="left"/>
      </w:pPr>
      <w:r>
        <w:separator/>
      </w:r>
    </w:p>
  </w:footnote>
  <w:footnote w:type="continuationSeparator" w:id="0">
    <w:p w14:paraId="3A38C021" w14:textId="77777777" w:rsidR="00B6545A" w:rsidRDefault="00B6545A">
      <w:pPr>
        <w:spacing w:after="0" w:line="272" w:lineRule="auto"/>
        <w:ind w:left="0" w:right="0" w:firstLine="0"/>
        <w:jc w:val="left"/>
      </w:pPr>
      <w:r>
        <w:continuationSeparator/>
      </w:r>
    </w:p>
  </w:footnote>
  <w:footnote w:id="1">
    <w:p w14:paraId="0DBC3F37" w14:textId="77777777" w:rsidR="00A306E3" w:rsidRDefault="00B6545A">
      <w:pPr>
        <w:pStyle w:val="footnotedescription"/>
        <w:spacing w:line="272" w:lineRule="auto"/>
      </w:pPr>
      <w:r>
        <w:rPr>
          <w:rStyle w:val="footnotemark"/>
        </w:rPr>
        <w:footnoteRef/>
      </w:r>
      <w:r>
        <w:t xml:space="preserve"> Tratado de Derecho Administrativo y Obras Selectas. Agustín Gordillo. FDA. 2019. Tomo VIII, Cap. XI.  </w:t>
      </w:r>
    </w:p>
  </w:footnote>
  <w:footnote w:id="2">
    <w:p w14:paraId="09D1DD00" w14:textId="77777777" w:rsidR="00A306E3" w:rsidRDefault="00B6545A">
      <w:pPr>
        <w:pStyle w:val="footnotedescription"/>
      </w:pPr>
      <w:r>
        <w:rPr>
          <w:rStyle w:val="footnotemark"/>
        </w:rPr>
        <w:footnoteRef/>
      </w:r>
      <w:r>
        <w:t xml:space="preserve"> Gordillo. Op. Cit. </w:t>
      </w:r>
    </w:p>
  </w:footnote>
  <w:footnote w:id="3">
    <w:p w14:paraId="53180F6F" w14:textId="77777777" w:rsidR="00A306E3" w:rsidRDefault="00B6545A">
      <w:pPr>
        <w:pStyle w:val="footnotedescription"/>
        <w:spacing w:line="276" w:lineRule="auto"/>
      </w:pPr>
      <w:r>
        <w:rPr>
          <w:rStyle w:val="footnotemark"/>
        </w:rPr>
        <w:footnoteRef/>
      </w:r>
      <w:r>
        <w:t xml:space="preserve"> Constitución de la Nación Argentina comentada y anotada, 6 ta. Edición actualizada y ampliada, tomo II. María Angélica Gelli. CABA – La Ley. 2022.  </w:t>
      </w:r>
    </w:p>
  </w:footnote>
  <w:footnote w:id="4">
    <w:p w14:paraId="5D14E545" w14:textId="77777777" w:rsidR="00A306E3" w:rsidRDefault="00B6545A">
      <w:pPr>
        <w:pStyle w:val="footnotedescription"/>
      </w:pPr>
      <w:r>
        <w:rPr>
          <w:rStyle w:val="footnotemark"/>
        </w:rPr>
        <w:footnoteRef/>
      </w:r>
      <w:r>
        <w:t xml:space="preserve"> Art. 4° Ley 24.240 </w:t>
      </w:r>
    </w:p>
  </w:footnote>
  <w:footnote w:id="5">
    <w:p w14:paraId="05AC8101" w14:textId="77777777" w:rsidR="00A306E3" w:rsidRDefault="00B6545A">
      <w:pPr>
        <w:pStyle w:val="footnotedescription"/>
        <w:spacing w:line="248" w:lineRule="auto"/>
      </w:pPr>
      <w:r>
        <w:rPr>
          <w:rStyle w:val="footnotemark"/>
        </w:rPr>
        <w:footnoteRef/>
      </w:r>
      <w:r>
        <w:t xml:space="preserve"> “ARTÍCULO 5º.-EQUIDAD E INTEROPERABILIDAD. La Autoridad de Aplicación garantizará la equidad, competitividad y autorizará la interoperabilidad entre el Servicio de Movilidad para Usuarios de Plataformas Digitales de Transporte y el Servicio Público Impropio de Transporte por taxi o remis. </w:t>
      </w:r>
    </w:p>
    <w:p w14:paraId="45DDBD48" w14:textId="77777777" w:rsidR="00A306E3" w:rsidRDefault="00B6545A">
      <w:pPr>
        <w:pStyle w:val="footnotedescription"/>
      </w:pPr>
      <w:r>
        <w:t xml:space="preserve">ARTÍCULO 6º.-DE LA PRESTACION DEL SERVICIO. El Servicio Público Impropio de </w:t>
      </w:r>
    </w:p>
    <w:p w14:paraId="66B35CA7" w14:textId="77777777" w:rsidR="00A306E3" w:rsidRDefault="00B6545A">
      <w:pPr>
        <w:pStyle w:val="footnotedescription"/>
        <w:spacing w:line="277" w:lineRule="auto"/>
        <w:ind w:right="17"/>
        <w:jc w:val="both"/>
      </w:pPr>
      <w:r>
        <w:t xml:space="preserve">Transporte por taxis o remis que reúna las condiciones y requisitos establecidos por la Autoridad de Aplicación, podrán prestar el Servicio de Movilidad para Usuarios de Plataformas Digitales de Transporte” (Ordenanza N°16.377). </w:t>
      </w:r>
      <w:r>
        <w:rPr>
          <w:vertAlign w:val="superscript"/>
        </w:rPr>
        <w:t>6</w:t>
      </w:r>
      <w:r>
        <w:t xml:space="preserve"> Inclusive la obligación de “o) Informar a la Autoridad de Aplicación el registro de vehículos y conductores inscriptos en la plataforma digital de transporte”. </w:t>
      </w:r>
    </w:p>
  </w:footnote>
  <w:footnote w:id="6">
    <w:p w14:paraId="09F66948" w14:textId="77777777" w:rsidR="00A306E3" w:rsidRDefault="00B6545A">
      <w:pPr>
        <w:pStyle w:val="footnotedescription"/>
        <w:spacing w:after="15"/>
      </w:pPr>
      <w:r>
        <w:rPr>
          <w:rStyle w:val="footnotemark"/>
        </w:rPr>
        <w:footnoteRef/>
      </w:r>
      <w:r>
        <w:t xml:space="preserve"> Conforme Manual de la Constitución Reformada. Germán J. Bidart Campos. 5ta. </w:t>
      </w:r>
    </w:p>
    <w:p w14:paraId="4D31B73D" w14:textId="77777777" w:rsidR="00A306E3" w:rsidRDefault="00B6545A">
      <w:pPr>
        <w:pStyle w:val="footnotedescription"/>
        <w:spacing w:after="24"/>
      </w:pPr>
      <w:r>
        <w:t xml:space="preserve">Reimpresión  </w:t>
      </w:r>
    </w:p>
  </w:footnote>
  <w:footnote w:id="7">
    <w:p w14:paraId="074F6EF6" w14:textId="77777777" w:rsidR="00A306E3" w:rsidRDefault="00B6545A">
      <w:pPr>
        <w:pStyle w:val="footnotedescription"/>
        <w:spacing w:line="247" w:lineRule="auto"/>
      </w:pPr>
      <w:r>
        <w:rPr>
          <w:rStyle w:val="footnotemark"/>
        </w:rPr>
        <w:footnoteRef/>
      </w:r>
      <w:r>
        <w:t xml:space="preserve"> https://www.eltribuno.com/nota/2020-11-3-14-30-0-uber-taxi-llega-a-salta-y-la-amt-reiteraque-su-uso-es-ilegal </w:t>
      </w:r>
    </w:p>
  </w:footnote>
  <w:footnote w:id="8">
    <w:p w14:paraId="0D609801" w14:textId="77777777" w:rsidR="00A306E3" w:rsidRDefault="00B6545A">
      <w:pPr>
        <w:pStyle w:val="footnotedescription"/>
        <w:spacing w:line="254" w:lineRule="auto"/>
        <w:ind w:right="49"/>
      </w:pPr>
      <w:r>
        <w:rPr>
          <w:rStyle w:val="footnotemark"/>
        </w:rPr>
        <w:footnoteRef/>
      </w:r>
      <w:r>
        <w:t xml:space="preserve"> Curso de Derecho Administrativo. Juan Carlos Cassagne - 12a. ed. - Ciudad Autónoma de Buenos Aires: La Ley, 2018. </w:t>
      </w:r>
      <w:r>
        <w:rPr>
          <w:vertAlign w:val="superscript"/>
        </w:rPr>
        <w:t>10</w:t>
      </w:r>
      <w:r>
        <w:t xml:space="preserve"> Op. Cit. </w:t>
      </w:r>
    </w:p>
  </w:footnote>
  <w:footnote w:id="9">
    <w:p w14:paraId="4DB42086" w14:textId="77777777" w:rsidR="00A306E3" w:rsidRDefault="00B6545A">
      <w:pPr>
        <w:pStyle w:val="footnotedescription"/>
      </w:pPr>
      <w:r>
        <w:rPr>
          <w:rStyle w:val="footnotemark"/>
        </w:rPr>
        <w:footnoteRef/>
      </w:r>
      <w:r>
        <w:t xml:space="preserve"> Op. Cit. Gelli. </w:t>
      </w:r>
    </w:p>
  </w:footnote>
  <w:footnote w:id="10">
    <w:p w14:paraId="12509D6F" w14:textId="77777777" w:rsidR="00A306E3" w:rsidRDefault="00B6545A">
      <w:pPr>
        <w:pStyle w:val="footnotedescription"/>
        <w:spacing w:line="273" w:lineRule="auto"/>
        <w:jc w:val="both"/>
      </w:pPr>
      <w:r>
        <w:rPr>
          <w:rStyle w:val="footnotemark"/>
        </w:rPr>
        <w:footnoteRef/>
      </w:r>
      <w:r>
        <w:t xml:space="preserve"> Constitución de la Nación Argentina comentada y anotada, 6ta. ed. actualizada y ampliada, tomo I. María Angélica Gelli. CABA: La Ley, 2022.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F55EF"/>
    <w:multiLevelType w:val="hybridMultilevel"/>
    <w:tmpl w:val="15CCA9EE"/>
    <w:lvl w:ilvl="0" w:tplc="A98AB04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C86446">
      <w:start w:val="1"/>
      <w:numFmt w:val="lowerLetter"/>
      <w:lvlText w:val="%2"/>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2C3DB4">
      <w:start w:val="1"/>
      <w:numFmt w:val="lowerRoman"/>
      <w:lvlText w:val="%3"/>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F668B2">
      <w:start w:val="1"/>
      <w:numFmt w:val="decimal"/>
      <w:lvlText w:val="%4"/>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1CB142">
      <w:start w:val="1"/>
      <w:numFmt w:val="lowerLetter"/>
      <w:lvlText w:val="%5"/>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2AC4E2">
      <w:start w:val="1"/>
      <w:numFmt w:val="lowerRoman"/>
      <w:lvlText w:val="%6"/>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4C8662">
      <w:start w:val="1"/>
      <w:numFmt w:val="decimal"/>
      <w:lvlText w:val="%7"/>
      <w:lvlJc w:val="left"/>
      <w:pPr>
        <w:ind w:left="7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ECF336">
      <w:start w:val="1"/>
      <w:numFmt w:val="lowerLetter"/>
      <w:lvlText w:val="%8"/>
      <w:lvlJc w:val="left"/>
      <w:pPr>
        <w:ind w:left="7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A267F4C">
      <w:start w:val="1"/>
      <w:numFmt w:val="lowerRoman"/>
      <w:lvlText w:val="%9"/>
      <w:lvlJc w:val="left"/>
      <w:pPr>
        <w:ind w:left="8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39731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revisionView w:inkAnnotations="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06E3"/>
    <w:rsid w:val="00015FD5"/>
    <w:rsid w:val="004E152E"/>
    <w:rsid w:val="00680FA9"/>
    <w:rsid w:val="00A306E3"/>
    <w:rsid w:val="00AA3B28"/>
    <w:rsid w:val="00B6545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D9483"/>
  <w15:docId w15:val="{F5381916-DE1F-4F7F-8965-6B38E4000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360" w:lineRule="auto"/>
      <w:ind w:left="10" w:right="2" w:hanging="10"/>
      <w:jc w:val="both"/>
    </w:pPr>
    <w:rPr>
      <w:rFonts w:ascii="Times New Roman" w:eastAsia="Times New Roman" w:hAnsi="Times New Roman" w:cs="Times New Roman"/>
      <w:color w:val="000000"/>
      <w:sz w:val="24"/>
    </w:rPr>
  </w:style>
  <w:style w:type="paragraph" w:styleId="Ttulo1">
    <w:name w:val="heading 1"/>
    <w:next w:val="Normal"/>
    <w:link w:val="Ttulo1Car"/>
    <w:uiPriority w:val="9"/>
    <w:unhideWhenUsed/>
    <w:qFormat/>
    <w:pPr>
      <w:keepNext/>
      <w:keepLines/>
      <w:spacing w:after="112"/>
      <w:ind w:left="10" w:hanging="10"/>
      <w:outlineLvl w:val="0"/>
    </w:pPr>
    <w:rPr>
      <w:rFonts w:ascii="Times New Roman" w:eastAsia="Times New Roman" w:hAnsi="Times New Roman" w:cs="Times New Roman"/>
      <w:b/>
      <w:color w:val="00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Times New Roman" w:eastAsia="Times New Roman" w:hAnsi="Times New Roman" w:cs="Times New Roman"/>
      <w:b/>
      <w:color w:val="000000"/>
      <w:sz w:val="24"/>
    </w:rPr>
  </w:style>
  <w:style w:type="paragraph" w:customStyle="1" w:styleId="footnotedescription">
    <w:name w:val="footnote description"/>
    <w:next w:val="Normal"/>
    <w:link w:val="footnotedescriptionChar"/>
    <w:hidden/>
    <w:pPr>
      <w:spacing w:after="0"/>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footnotemark">
    <w:name w:val="footnote mark"/>
    <w:hidden/>
    <w:rPr>
      <w:rFonts w:ascii="Arial" w:eastAsia="Arial" w:hAnsi="Arial" w:cs="Arial"/>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 /><Relationship Id="rId13" Type="http://schemas.openxmlformats.org/officeDocument/2006/relationships/hyperlink" Target="http://desiguales.el/" TargetMode="External" /><Relationship Id="rId18" Type="http://schemas.openxmlformats.org/officeDocument/2006/relationships/footer" Target="footer6.xml" /><Relationship Id="rId3" Type="http://schemas.openxmlformats.org/officeDocument/2006/relationships/settings" Target="settings.xml" /><Relationship Id="rId7" Type="http://schemas.openxmlformats.org/officeDocument/2006/relationships/footer" Target="footer1.xml" /><Relationship Id="rId12" Type="http://schemas.openxmlformats.org/officeDocument/2006/relationships/hyperlink" Target="http://desiguales.el/" TargetMode="External" /><Relationship Id="rId17" Type="http://schemas.openxmlformats.org/officeDocument/2006/relationships/footer" Target="footer5.xml" /><Relationship Id="rId2" Type="http://schemas.openxmlformats.org/officeDocument/2006/relationships/styles" Target="styles.xml" /><Relationship Id="rId16" Type="http://schemas.openxmlformats.org/officeDocument/2006/relationships/footer" Target="footer4.xml" /><Relationship Id="rId20" Type="http://schemas.openxmlformats.org/officeDocument/2006/relationships/theme" Target="theme/theme1.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yperlink" Target="http://desiguales.el/" TargetMode="External" /><Relationship Id="rId5" Type="http://schemas.openxmlformats.org/officeDocument/2006/relationships/footnotes" Target="footnotes.xml" /><Relationship Id="rId15" Type="http://schemas.openxmlformats.org/officeDocument/2006/relationships/hyperlink" Target="http://desiguales.el/" TargetMode="External" /><Relationship Id="rId10" Type="http://schemas.openxmlformats.org/officeDocument/2006/relationships/hyperlink" Target="http://desiguales.el/" TargetMode="External" /><Relationship Id="rId19"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footer" Target="footer3.xml" /><Relationship Id="rId14" Type="http://schemas.openxmlformats.org/officeDocument/2006/relationships/hyperlink" Target="http://desiguales.el/" TargetMode="Externa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4093</Words>
  <Characters>22517</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Pilar Miranda;Francisco Figueroa Garzón</dc:creator>
  <cp:keywords/>
  <cp:lastModifiedBy>fernando mamani</cp:lastModifiedBy>
  <cp:revision>2</cp:revision>
  <dcterms:created xsi:type="dcterms:W3CDTF">2026-03-29T13:33:00Z</dcterms:created>
  <dcterms:modified xsi:type="dcterms:W3CDTF">2026-03-29T13:33:00Z</dcterms:modified>
</cp:coreProperties>
</file>