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058D7" w14:textId="77777777" w:rsidR="00DA5247" w:rsidRDefault="00000000">
      <w:pPr>
        <w:spacing w:before="100" w:after="100" w:line="276" w:lineRule="auto"/>
        <w:jc w:val="center"/>
      </w:pPr>
      <w:r>
        <w:rPr>
          <w:b/>
          <w:bCs/>
          <w:sz w:val="24"/>
          <w:szCs w:val="24"/>
        </w:rPr>
        <w:t>CONTESTAN DEMANDA</w:t>
      </w:r>
    </w:p>
    <w:p w14:paraId="1E1D15EF" w14:textId="77777777" w:rsidR="00DA5247" w:rsidRDefault="00DA5247"/>
    <w:p w14:paraId="5CDF45F8" w14:textId="77777777" w:rsidR="00DA5247" w:rsidRDefault="00000000">
      <w:pPr>
        <w:spacing w:before="100" w:after="100" w:line="276" w:lineRule="auto"/>
        <w:jc w:val="both"/>
      </w:pPr>
      <w:r>
        <w:rPr>
          <w:sz w:val="24"/>
          <w:szCs w:val="24"/>
        </w:rPr>
        <w:t>Sres. Jueces de Corte de Justicia:</w:t>
      </w:r>
    </w:p>
    <w:p w14:paraId="7C8C1441" w14:textId="77777777" w:rsidR="00DA5247" w:rsidRDefault="00DA5247"/>
    <w:p w14:paraId="24F207A9" w14:textId="5EC910A9" w:rsidR="00DA5247" w:rsidRDefault="00000000">
      <w:pPr>
        <w:spacing w:before="100" w:after="100" w:line="276" w:lineRule="auto"/>
        <w:jc w:val="both"/>
      </w:pPr>
      <w:r>
        <w:rPr>
          <w:b/>
          <w:bCs/>
          <w:sz w:val="24"/>
          <w:szCs w:val="24"/>
        </w:rPr>
        <w:t>MATIAS RENE RISSO</w:t>
      </w:r>
      <w:r>
        <w:rPr>
          <w:sz w:val="24"/>
          <w:szCs w:val="24"/>
        </w:rPr>
        <w:t xml:space="preserve">, Procurador General de la </w:t>
      </w:r>
      <w:r>
        <w:rPr>
          <w:b/>
          <w:bCs/>
          <w:sz w:val="24"/>
          <w:szCs w:val="24"/>
        </w:rPr>
        <w:t>MUNICIPALIDAD DE LA CIUDAD DE SALTA</w:t>
      </w:r>
      <w:r>
        <w:rPr>
          <w:sz w:val="24"/>
          <w:szCs w:val="24"/>
        </w:rPr>
        <w:t xml:space="preserve"> y </w:t>
      </w:r>
      <w:r>
        <w:rPr>
          <w:b/>
          <w:bCs/>
          <w:sz w:val="24"/>
          <w:szCs w:val="24"/>
        </w:rPr>
        <w:t>NALDO MARTIN GONZALEZ</w:t>
      </w:r>
      <w:r>
        <w:rPr>
          <w:sz w:val="24"/>
          <w:szCs w:val="24"/>
        </w:rPr>
        <w:t xml:space="preserve">, abogado apoderado de la misma, manteniendo domicilio legal y procesal en Av. Paraguay </w:t>
      </w:r>
      <w:proofErr w:type="spellStart"/>
      <w:r>
        <w:rPr>
          <w:sz w:val="24"/>
          <w:szCs w:val="24"/>
        </w:rPr>
        <w:t>N°</w:t>
      </w:r>
      <w:proofErr w:type="spellEnd"/>
      <w:r>
        <w:rPr>
          <w:sz w:val="24"/>
          <w:szCs w:val="24"/>
        </w:rPr>
        <w:t xml:space="preserve"> 1.240 de esta Ciudad y electrónico 2313, en los autos caratulados: </w:t>
      </w:r>
      <w:r w:rsidR="00DE5A6A">
        <w:rPr>
          <w:sz w:val="24"/>
          <w:szCs w:val="24"/>
        </w:rPr>
        <w:t>“…………….”</w:t>
      </w:r>
      <w:r>
        <w:rPr>
          <w:sz w:val="24"/>
          <w:szCs w:val="24"/>
        </w:rPr>
        <w:t xml:space="preserve">, </w:t>
      </w:r>
      <w:proofErr w:type="spellStart"/>
      <w:r>
        <w:rPr>
          <w:sz w:val="24"/>
          <w:szCs w:val="24"/>
        </w:rPr>
        <w:t>Expte</w:t>
      </w:r>
      <w:proofErr w:type="spellEnd"/>
      <w:r>
        <w:rPr>
          <w:sz w:val="24"/>
          <w:szCs w:val="24"/>
        </w:rPr>
        <w:t xml:space="preserve">. </w:t>
      </w:r>
      <w:proofErr w:type="spellStart"/>
      <w:r>
        <w:rPr>
          <w:sz w:val="24"/>
          <w:szCs w:val="24"/>
        </w:rPr>
        <w:t>N°</w:t>
      </w:r>
      <w:proofErr w:type="spellEnd"/>
      <w:r>
        <w:rPr>
          <w:sz w:val="24"/>
          <w:szCs w:val="24"/>
        </w:rPr>
        <w:t xml:space="preserve"> CJS-920019/25, a S.S. respetuosamente nos presentamos y decimos:</w:t>
      </w:r>
    </w:p>
    <w:p w14:paraId="741CB695" w14:textId="77777777" w:rsidR="00DA5247" w:rsidRDefault="00DA5247"/>
    <w:p w14:paraId="0C956A51" w14:textId="77777777" w:rsidR="00DA5247" w:rsidRDefault="00000000">
      <w:pPr>
        <w:spacing w:before="100" w:after="100" w:line="276" w:lineRule="auto"/>
        <w:jc w:val="center"/>
      </w:pPr>
      <w:r>
        <w:rPr>
          <w:b/>
          <w:bCs/>
          <w:sz w:val="24"/>
          <w:szCs w:val="24"/>
        </w:rPr>
        <w:t>I.- PERSONERIA:</w:t>
      </w:r>
    </w:p>
    <w:p w14:paraId="5B1C6663" w14:textId="62911210" w:rsidR="00DA5247" w:rsidRDefault="00000000">
      <w:pPr>
        <w:spacing w:before="100" w:after="100" w:line="276" w:lineRule="auto"/>
        <w:jc w:val="both"/>
      </w:pPr>
      <w:r>
        <w:rPr>
          <w:sz w:val="24"/>
          <w:szCs w:val="24"/>
        </w:rPr>
        <w:t xml:space="preserve">Que, conforme lo acredito con Decreto de designación y poder para juicios, soy </w:t>
      </w:r>
      <w:r w:rsidR="00DE5A6A">
        <w:rPr>
          <w:sz w:val="24"/>
          <w:szCs w:val="24"/>
        </w:rPr>
        <w:t>ß</w:t>
      </w:r>
      <w:r>
        <w:rPr>
          <w:sz w:val="24"/>
          <w:szCs w:val="24"/>
        </w:rPr>
        <w:t>funcionario y apoderado respectivamente de la MUNICIPALIDAD DE LA CIUDAD DE SALTA, cuyos instrumentos declaro se encuentran vigentes. Solicito me otorguen la pertinente participación de ley.</w:t>
      </w:r>
    </w:p>
    <w:p w14:paraId="6B90D04F" w14:textId="77777777" w:rsidR="00DA5247" w:rsidRDefault="00DA5247"/>
    <w:p w14:paraId="2D945991" w14:textId="77777777" w:rsidR="00DA5247" w:rsidRDefault="00000000">
      <w:pPr>
        <w:spacing w:before="100" w:after="100" w:line="276" w:lineRule="auto"/>
        <w:jc w:val="center"/>
      </w:pPr>
      <w:r>
        <w:rPr>
          <w:b/>
          <w:bCs/>
          <w:sz w:val="24"/>
          <w:szCs w:val="24"/>
        </w:rPr>
        <w:t>II.- OBJETO:</w:t>
      </w:r>
    </w:p>
    <w:p w14:paraId="2F3CD4B0" w14:textId="77777777" w:rsidR="00DA5247" w:rsidRDefault="00000000">
      <w:pPr>
        <w:spacing w:before="100" w:after="100" w:line="276" w:lineRule="auto"/>
        <w:jc w:val="both"/>
      </w:pPr>
      <w:r>
        <w:rPr>
          <w:sz w:val="24"/>
          <w:szCs w:val="24"/>
        </w:rPr>
        <w:t>Que, vengo a contestar la acción de inconstitucionalidad interpuesta por los actores, solicitando el rechazo de la misma en todas sus partes, conforme a los fundamentos que se exponen a lo largo del presente responde.</w:t>
      </w:r>
    </w:p>
    <w:p w14:paraId="4BB82294" w14:textId="77777777" w:rsidR="00DA5247" w:rsidRDefault="00DA5247"/>
    <w:p w14:paraId="72135BE8" w14:textId="77777777" w:rsidR="00DA5247" w:rsidRDefault="00000000">
      <w:pPr>
        <w:spacing w:before="100" w:after="100" w:line="276" w:lineRule="auto"/>
        <w:jc w:val="center"/>
      </w:pPr>
      <w:r>
        <w:rPr>
          <w:b/>
          <w:bCs/>
          <w:sz w:val="24"/>
          <w:szCs w:val="24"/>
        </w:rPr>
        <w:t>III.- CONTESTAN DEMANDA:</w:t>
      </w:r>
    </w:p>
    <w:p w14:paraId="6BB9D2CF" w14:textId="77777777" w:rsidR="00DA5247" w:rsidRDefault="00000000">
      <w:pPr>
        <w:spacing w:before="100" w:after="100" w:line="276" w:lineRule="auto"/>
        <w:jc w:val="both"/>
      </w:pPr>
      <w:proofErr w:type="spellStart"/>
      <w:r>
        <w:rPr>
          <w:b/>
          <w:bCs/>
          <w:sz w:val="24"/>
          <w:szCs w:val="24"/>
        </w:rPr>
        <w:t>III.a</w:t>
      </w:r>
      <w:proofErr w:type="spellEnd"/>
      <w:r>
        <w:rPr>
          <w:b/>
          <w:bCs/>
          <w:sz w:val="24"/>
          <w:szCs w:val="24"/>
        </w:rPr>
        <w:t>.- Negativas:</w:t>
      </w:r>
    </w:p>
    <w:p w14:paraId="52D92EE2" w14:textId="77777777" w:rsidR="00DA5247" w:rsidRDefault="00000000">
      <w:pPr>
        <w:spacing w:before="100" w:after="100" w:line="276" w:lineRule="auto"/>
        <w:jc w:val="both"/>
      </w:pPr>
      <w:r>
        <w:rPr>
          <w:sz w:val="24"/>
          <w:szCs w:val="24"/>
        </w:rPr>
        <w:t>Por imperativo procesal niego los hechos y la afectación de derechos invocada por los accionantes.</w:t>
      </w:r>
    </w:p>
    <w:p w14:paraId="70E86C4A" w14:textId="77777777" w:rsidR="00DA5247" w:rsidRDefault="00000000">
      <w:pPr>
        <w:spacing w:before="100" w:after="100" w:line="276" w:lineRule="auto"/>
        <w:jc w:val="both"/>
      </w:pPr>
      <w:r>
        <w:rPr>
          <w:sz w:val="24"/>
          <w:szCs w:val="24"/>
        </w:rPr>
        <w:t>Asimismo, niego autenticidad a la documental acompañada como prueba.</w:t>
      </w:r>
    </w:p>
    <w:p w14:paraId="1F8F4B12" w14:textId="77777777" w:rsidR="00DA5247" w:rsidRDefault="00DA5247"/>
    <w:p w14:paraId="573FB280" w14:textId="77777777" w:rsidR="00DA5247" w:rsidRDefault="00000000">
      <w:pPr>
        <w:spacing w:before="200" w:after="100" w:line="276" w:lineRule="auto"/>
        <w:jc w:val="center"/>
      </w:pPr>
      <w:proofErr w:type="spellStart"/>
      <w:r>
        <w:rPr>
          <w:b/>
          <w:bCs/>
          <w:sz w:val="24"/>
          <w:szCs w:val="24"/>
          <w:u w:val="single"/>
        </w:rPr>
        <w:t>III.b</w:t>
      </w:r>
      <w:proofErr w:type="spellEnd"/>
      <w:r>
        <w:rPr>
          <w:b/>
          <w:bCs/>
          <w:sz w:val="24"/>
          <w:szCs w:val="24"/>
          <w:u w:val="single"/>
        </w:rPr>
        <w:t>.- La supuesta afectación del principio de igualdad:</w:t>
      </w:r>
    </w:p>
    <w:p w14:paraId="41AFC4D9" w14:textId="77777777" w:rsidR="00DA5247" w:rsidRDefault="00000000">
      <w:pPr>
        <w:spacing w:before="100" w:after="100" w:line="276" w:lineRule="auto"/>
        <w:jc w:val="both"/>
      </w:pPr>
      <w:r>
        <w:rPr>
          <w:sz w:val="24"/>
          <w:szCs w:val="24"/>
        </w:rPr>
        <w:t>Los accionantes argumentan una supuesta afectación del principio de igualdad de trato, concretamente entre quienes se desempeñan como taxistas y quienes prestan el servicio de transporte por medio de plataformas digitales, ello toda vez que los taxistas se encuentran sujetos a las tarifas que establece la autoridad reguladora del servicio público impropio (Autoridad Metropolitana de Transporte), mientras que las plataformas digitales de transporte fijan libremente sus tarifas.</w:t>
      </w:r>
    </w:p>
    <w:p w14:paraId="0F1F8556" w14:textId="77777777" w:rsidR="00DA5247" w:rsidRDefault="00000000">
      <w:pPr>
        <w:spacing w:before="100" w:after="100" w:line="276" w:lineRule="auto"/>
        <w:jc w:val="both"/>
      </w:pPr>
      <w:r>
        <w:rPr>
          <w:sz w:val="24"/>
          <w:szCs w:val="24"/>
        </w:rPr>
        <w:t>Argumentan que, mientras los taxistas están sometidos a mayores exigencias regulatorias, los operadores de plataformas digitales gozan de beneficios normativos.</w:t>
      </w:r>
    </w:p>
    <w:p w14:paraId="474AF92D" w14:textId="77777777" w:rsidR="00DA5247" w:rsidRDefault="00000000">
      <w:pPr>
        <w:spacing w:before="100" w:after="100" w:line="276" w:lineRule="auto"/>
        <w:jc w:val="both"/>
      </w:pPr>
      <w:r>
        <w:rPr>
          <w:sz w:val="24"/>
          <w:szCs w:val="24"/>
        </w:rPr>
        <w:lastRenderedPageBreak/>
        <w:t>El examen de la alegada infracción al artículo 16 de la Constitución Nacional, consagratorio del principio de igualdad, demanda partir del alcance que el mismo tiene según la Corte Suprema de Justicia de la Nación, quién ha sostenido lo siguiente:</w:t>
      </w:r>
    </w:p>
    <w:p w14:paraId="22461163" w14:textId="77777777" w:rsidR="00DA5247" w:rsidRDefault="00000000">
      <w:pPr>
        <w:spacing w:before="100" w:after="100" w:line="276" w:lineRule="auto"/>
        <w:jc w:val="both"/>
      </w:pPr>
      <w:r>
        <w:rPr>
          <w:sz w:val="24"/>
          <w:szCs w:val="24"/>
        </w:rPr>
        <w:t xml:space="preserve">"La garantía de la igualdad ante la ley radica en consagrar un trato legal igualitario a quienes se hallan en una razonable igualdad de circunstancias" (Voto del Dr. Enrique Santiago </w:t>
      </w:r>
      <w:proofErr w:type="spellStart"/>
      <w:r>
        <w:rPr>
          <w:sz w:val="24"/>
          <w:szCs w:val="24"/>
        </w:rPr>
        <w:t>Petracchi</w:t>
      </w:r>
      <w:proofErr w:type="spellEnd"/>
      <w:r>
        <w:rPr>
          <w:sz w:val="24"/>
          <w:szCs w:val="24"/>
        </w:rPr>
        <w:t xml:space="preserve"> en "Neville", fallos, 308:1.361).</w:t>
      </w:r>
    </w:p>
    <w:p w14:paraId="7515B4DD" w14:textId="77777777" w:rsidR="00DA5247" w:rsidRDefault="00000000">
      <w:pPr>
        <w:spacing w:before="100" w:after="100" w:line="276" w:lineRule="auto"/>
        <w:jc w:val="both"/>
      </w:pPr>
      <w:r>
        <w:rPr>
          <w:sz w:val="24"/>
          <w:szCs w:val="24"/>
        </w:rPr>
        <w:t>"La garantía de igualdad no impide que se contemplen en forma distintas, situaciones que se consideran diferentes, siempre que la discriminación no sea arbitraria, ni responda a un propósito de hostilidad contra determinada persona o grupo de personas o importe indebido favor o privilegio personal o de grupo ... La garantía del artículo 16 de la Constitución Nacional no impone una rígida igualdad, pues entrega a la discreción y sabiduría del poder legislativo una amplia latitud para ordenar y agrupar, distinguiendo y clasificando los objetos de la legislación, siempre que las distinciones o clasificaciones se basen en diferencias razonables y no en propósitos de hostilidad contra determinadas clases o personas" (Fallos: 315:1190).</w:t>
      </w:r>
    </w:p>
    <w:p w14:paraId="5CC88170" w14:textId="77777777" w:rsidR="00DA5247" w:rsidRDefault="00000000">
      <w:pPr>
        <w:spacing w:before="100" w:after="100" w:line="276" w:lineRule="auto"/>
        <w:jc w:val="both"/>
      </w:pPr>
      <w:r>
        <w:rPr>
          <w:sz w:val="24"/>
          <w:szCs w:val="24"/>
        </w:rPr>
        <w:t>Bajo la óptica referida precedentemente, se abordará la cuestión de la supuesta infracción al principio de igualdad, destacando en primer lugar que nos encontramos ante situaciones que son sustancialmente diferentes y que, por tales, admiten una regulación disímil en consonancia con el principio de razonabilidad (artículo 28 de la Constitución Nacional), que implique un ejercicio adecuado de la intervención estatal o la facultad de regulación (ambas expresiones como sucedáneas del Poder de Policía).</w:t>
      </w:r>
    </w:p>
    <w:p w14:paraId="131A88F8" w14:textId="77777777" w:rsidR="00DA5247" w:rsidRDefault="00000000">
      <w:pPr>
        <w:spacing w:before="100" w:after="100" w:line="276" w:lineRule="auto"/>
        <w:jc w:val="both"/>
      </w:pPr>
      <w:r>
        <w:rPr>
          <w:sz w:val="24"/>
          <w:szCs w:val="24"/>
        </w:rPr>
        <w:t xml:space="preserve">Así, tenemos que la Ley Provincial </w:t>
      </w:r>
      <w:proofErr w:type="spellStart"/>
      <w:r>
        <w:rPr>
          <w:sz w:val="24"/>
          <w:szCs w:val="24"/>
        </w:rPr>
        <w:t>N°</w:t>
      </w:r>
      <w:proofErr w:type="spellEnd"/>
      <w:r>
        <w:rPr>
          <w:sz w:val="24"/>
          <w:szCs w:val="24"/>
        </w:rPr>
        <w:t xml:space="preserve"> 7.322, establece en su artículo 1° lo siguiente:</w:t>
      </w:r>
    </w:p>
    <w:p w14:paraId="7C055F6B" w14:textId="77777777" w:rsidR="00DA5247" w:rsidRDefault="00000000">
      <w:pPr>
        <w:spacing w:before="100" w:after="100" w:line="276" w:lineRule="auto"/>
        <w:jc w:val="both"/>
      </w:pPr>
      <w:r>
        <w:rPr>
          <w:sz w:val="24"/>
          <w:szCs w:val="24"/>
        </w:rPr>
        <w:t>"</w:t>
      </w:r>
      <w:proofErr w:type="spellStart"/>
      <w:r>
        <w:rPr>
          <w:sz w:val="24"/>
          <w:szCs w:val="24"/>
        </w:rPr>
        <w:t>Establécese</w:t>
      </w:r>
      <w:proofErr w:type="spellEnd"/>
      <w:r>
        <w:rPr>
          <w:sz w:val="24"/>
          <w:szCs w:val="24"/>
        </w:rPr>
        <w:t xml:space="preserve"> en el marco de lo dispuesto por la Ley 6.994 y respecto de los servicios de transporte por automotor de pasajeros propios e impropios de carácter urbano e interurbano, la Región Metropolitana de Salta, la que estará integrada por los municipios de Salta, San Lorenzo, Vaqueros, Cerrillos, Rosario de Lerma, Campo Quijano, La Merced y La Caldera, así como por aquéllos que el Poder Ejecutivo, a instancia de la Autoridad Metropolitana del Transporte (AMT), incorpore en el futuro. A los efectos de las disposiciones contenidas en la presente ley, </w:t>
      </w:r>
      <w:proofErr w:type="spellStart"/>
      <w:r>
        <w:rPr>
          <w:sz w:val="24"/>
          <w:szCs w:val="24"/>
        </w:rPr>
        <w:t>ratifícase</w:t>
      </w:r>
      <w:proofErr w:type="spellEnd"/>
      <w:r>
        <w:rPr>
          <w:sz w:val="24"/>
          <w:szCs w:val="24"/>
        </w:rPr>
        <w:t xml:space="preserve"> la delimitación de competencias establecida por Ley 6.994, conforme a lo previsto en el artículo 176 de la Constitución Provincial, dejándose en consecuencia establecido que los servicios de transporte por automotor de pasajeros propios e impropios de carácter urbano e interurbano en la Región Metropolitana de Salta, corresponde a la competencia provincial".</w:t>
      </w:r>
    </w:p>
    <w:p w14:paraId="752A7717" w14:textId="77777777" w:rsidR="00DA5247" w:rsidRDefault="00000000">
      <w:pPr>
        <w:spacing w:before="100" w:after="100" w:line="276" w:lineRule="auto"/>
        <w:jc w:val="both"/>
      </w:pPr>
      <w:r>
        <w:rPr>
          <w:sz w:val="24"/>
          <w:szCs w:val="24"/>
        </w:rPr>
        <w:t>A su vez, el artículo segundo de la norma aludida ha formado la Autoridad Metropolitana de Transporte (en adelante A.M.T.), la que tiene a su cargo potestades de planificación, organización, actuación, regulación, fiscalización y control, necesarias para el cumplimiento de su objetivo principal de garantizar la normal prestación del servicio público propio e impropio de transporte por automotor de personas en la Región Metropolitana de Salta.</w:t>
      </w:r>
    </w:p>
    <w:p w14:paraId="7927AADB" w14:textId="77777777" w:rsidR="00DA5247" w:rsidRDefault="00000000">
      <w:pPr>
        <w:spacing w:before="100" w:after="100" w:line="276" w:lineRule="auto"/>
        <w:jc w:val="both"/>
      </w:pPr>
      <w:r>
        <w:rPr>
          <w:sz w:val="24"/>
          <w:szCs w:val="24"/>
        </w:rPr>
        <w:lastRenderedPageBreak/>
        <w:t xml:space="preserve">Por su parte, en el año 2009 la A.M.T. dictó el "REGLAMENTO DEL SERVICIO PÚBLICO IMPROPIO DE TRANSPORTE POR AUTOMOTOR DE PERSONAS EN LA REGIÓN METROPOLITANA DE SALTA, aprobado por Resolución A.M.T. </w:t>
      </w:r>
      <w:proofErr w:type="spellStart"/>
      <w:r>
        <w:rPr>
          <w:sz w:val="24"/>
          <w:szCs w:val="24"/>
        </w:rPr>
        <w:t>N°</w:t>
      </w:r>
      <w:proofErr w:type="spellEnd"/>
      <w:r>
        <w:rPr>
          <w:sz w:val="24"/>
          <w:szCs w:val="24"/>
        </w:rPr>
        <w:t xml:space="preserve"> 1493/09, modificado recientemente por Resolución A.M.T. </w:t>
      </w:r>
      <w:proofErr w:type="spellStart"/>
      <w:r>
        <w:rPr>
          <w:sz w:val="24"/>
          <w:szCs w:val="24"/>
        </w:rPr>
        <w:t>N°</w:t>
      </w:r>
      <w:proofErr w:type="spellEnd"/>
      <w:r>
        <w:rPr>
          <w:sz w:val="24"/>
          <w:szCs w:val="24"/>
        </w:rPr>
        <w:t xml:space="preserve"> 430/25, el que, en su artículo primero establece que los servicios públicos impropios de transporte por automotor de personas que se presten dentro de la Región Metropolitana de Salta (delimitada por el artículo 1° de la Ley </w:t>
      </w:r>
      <w:proofErr w:type="spellStart"/>
      <w:r>
        <w:rPr>
          <w:sz w:val="24"/>
          <w:szCs w:val="24"/>
        </w:rPr>
        <w:t>N°</w:t>
      </w:r>
      <w:proofErr w:type="spellEnd"/>
      <w:r>
        <w:rPr>
          <w:sz w:val="24"/>
          <w:szCs w:val="24"/>
        </w:rPr>
        <w:t xml:space="preserve"> 7.322), se encuentran sujetos a las prescripciones de la Ley </w:t>
      </w:r>
      <w:proofErr w:type="spellStart"/>
      <w:r>
        <w:rPr>
          <w:sz w:val="24"/>
          <w:szCs w:val="24"/>
        </w:rPr>
        <w:t>N°</w:t>
      </w:r>
      <w:proofErr w:type="spellEnd"/>
      <w:r>
        <w:rPr>
          <w:sz w:val="24"/>
          <w:szCs w:val="24"/>
        </w:rPr>
        <w:t xml:space="preserve"> 7.322, al reglamento en cuestión, a sus disposiciones complementarias y demás normas operativas y regulatorias que la A.M.T. dicte en consecuencia. Luego, el artículo segundo define a los servicios públicos impropios de transporte por taxis (inciso 1) y por remises (inciso 2).</w:t>
      </w:r>
    </w:p>
    <w:p w14:paraId="01D29D5B" w14:textId="77777777" w:rsidR="00DA5247" w:rsidRDefault="00000000">
      <w:pPr>
        <w:spacing w:before="100" w:after="100" w:line="276" w:lineRule="auto"/>
        <w:jc w:val="both"/>
      </w:pPr>
      <w:r>
        <w:rPr>
          <w:sz w:val="24"/>
          <w:szCs w:val="24"/>
        </w:rPr>
        <w:t>De lo expuesto y marco normativo referido se tiene entonces que la actividad de taxis se encuentra sujeta a regulación y jurisdicción provincial, habido sido calificada como "servicio público impropio" de transporte de personas.</w:t>
      </w:r>
    </w:p>
    <w:p w14:paraId="07EB6109" w14:textId="77777777" w:rsidR="00DA5247" w:rsidRDefault="00000000">
      <w:pPr>
        <w:spacing w:before="100" w:after="100" w:line="276" w:lineRule="auto"/>
        <w:jc w:val="both"/>
      </w:pPr>
      <w:r>
        <w:rPr>
          <w:sz w:val="24"/>
          <w:szCs w:val="24"/>
        </w:rPr>
        <w:t xml:space="preserve">Se destaca que la Ley </w:t>
      </w:r>
      <w:proofErr w:type="spellStart"/>
      <w:r>
        <w:rPr>
          <w:sz w:val="24"/>
          <w:szCs w:val="24"/>
        </w:rPr>
        <w:t>N°</w:t>
      </w:r>
      <w:proofErr w:type="spellEnd"/>
      <w:r>
        <w:rPr>
          <w:sz w:val="24"/>
          <w:szCs w:val="24"/>
        </w:rPr>
        <w:t xml:space="preserve"> 7.322, ha sido dictada en virtud de lo establecido por la Ley </w:t>
      </w:r>
      <w:proofErr w:type="spellStart"/>
      <w:r>
        <w:rPr>
          <w:sz w:val="24"/>
          <w:szCs w:val="24"/>
        </w:rPr>
        <w:t>N°</w:t>
      </w:r>
      <w:proofErr w:type="spellEnd"/>
      <w:r>
        <w:rPr>
          <w:sz w:val="24"/>
          <w:szCs w:val="24"/>
        </w:rPr>
        <w:t xml:space="preserve"> 6.994, que dispuso delimitar las facultades provinciales en relación con las competencias municipales previstas en el artículo 170 de la Constitución Provincial, en relación a la prestación del servicio público de transporte automotor de pasajeros por parte de las Municipalidades de la Provincia. Así, estableció compete a la Provincia de Salta garantizar la normal prestación de tal servicio público, para todos los casos en que no se configure el supuesto establecido en el artículo 173 de la Constitución Provincial.</w:t>
      </w:r>
    </w:p>
    <w:p w14:paraId="6BF659DB" w14:textId="77777777" w:rsidR="00DA5247" w:rsidRDefault="00000000">
      <w:pPr>
        <w:spacing w:before="100" w:after="100" w:line="276" w:lineRule="auto"/>
        <w:jc w:val="both"/>
      </w:pPr>
      <w:r>
        <w:rPr>
          <w:sz w:val="24"/>
          <w:szCs w:val="24"/>
        </w:rPr>
        <w:t>Es decir, la actividad de taxis es un "</w:t>
      </w:r>
      <w:r>
        <w:rPr>
          <w:b/>
          <w:bCs/>
          <w:sz w:val="24"/>
          <w:szCs w:val="24"/>
        </w:rPr>
        <w:t>servicio público impropio</w:t>
      </w:r>
      <w:r>
        <w:rPr>
          <w:sz w:val="24"/>
          <w:szCs w:val="24"/>
        </w:rPr>
        <w:t xml:space="preserve">", mientras que el transporte mediante plataformas es una </w:t>
      </w:r>
      <w:r>
        <w:rPr>
          <w:b/>
          <w:bCs/>
          <w:sz w:val="24"/>
          <w:szCs w:val="24"/>
        </w:rPr>
        <w:t>actividad privada de interés público</w:t>
      </w:r>
      <w:r>
        <w:rPr>
          <w:sz w:val="24"/>
          <w:szCs w:val="24"/>
        </w:rPr>
        <w:t>, tal cual se desprende del artículo 1° de la Ordenanza 16.377.</w:t>
      </w:r>
    </w:p>
    <w:p w14:paraId="64E2113F" w14:textId="77777777" w:rsidR="00DA5247" w:rsidRDefault="00000000">
      <w:pPr>
        <w:spacing w:before="100" w:after="100" w:line="276" w:lineRule="auto"/>
        <w:jc w:val="both"/>
      </w:pPr>
      <w:r>
        <w:rPr>
          <w:sz w:val="24"/>
          <w:szCs w:val="24"/>
        </w:rPr>
        <w:t>No resulta baladí memorar, puesto que se advierte una confusión en los accionantes, para que una actividad sea considerada "servicio público" resulta necesaria una declaración de la autoridad en tal sentido, lo que se ha llamado la "</w:t>
      </w:r>
      <w:proofErr w:type="spellStart"/>
      <w:r>
        <w:rPr>
          <w:sz w:val="24"/>
          <w:szCs w:val="24"/>
        </w:rPr>
        <w:t>publicatio</w:t>
      </w:r>
      <w:proofErr w:type="spellEnd"/>
      <w:r>
        <w:rPr>
          <w:sz w:val="24"/>
          <w:szCs w:val="24"/>
        </w:rPr>
        <w:t>". Ésta circunstancia demuestra el yerro de los accionantes al referirse a la actividad de transporte por medio de aplicaciones digitales, regulada por la Ordenanza N°16.337, como "servicio público".</w:t>
      </w:r>
    </w:p>
    <w:p w14:paraId="4FBC819E" w14:textId="77777777" w:rsidR="00DA5247" w:rsidRDefault="00000000">
      <w:pPr>
        <w:spacing w:before="100" w:after="100" w:line="276" w:lineRule="auto"/>
        <w:jc w:val="both"/>
      </w:pPr>
      <w:r>
        <w:rPr>
          <w:sz w:val="24"/>
          <w:szCs w:val="24"/>
        </w:rPr>
        <w:t xml:space="preserve">Concretamente, la actividad regulada por la Ordenanza cuestionada ha sido dictada en consonancia con la normativa que rige en la Provincia de Mendoza (artículo 52 segundo párrafo de la Ley 9.086 de esa Provincia), capital de La Rioja (artículo 2 de la Ordenanza </w:t>
      </w:r>
      <w:proofErr w:type="spellStart"/>
      <w:r>
        <w:rPr>
          <w:sz w:val="24"/>
          <w:szCs w:val="24"/>
        </w:rPr>
        <w:t>N°</w:t>
      </w:r>
      <w:proofErr w:type="spellEnd"/>
      <w:r>
        <w:rPr>
          <w:sz w:val="24"/>
          <w:szCs w:val="24"/>
        </w:rPr>
        <w:t xml:space="preserve"> 6.488 de esa Ciudad) y capital de Corrientes (artículo 4 de la Ordenanza </w:t>
      </w:r>
      <w:proofErr w:type="spellStart"/>
      <w:r>
        <w:rPr>
          <w:sz w:val="24"/>
          <w:szCs w:val="24"/>
        </w:rPr>
        <w:t>N°</w:t>
      </w:r>
      <w:proofErr w:type="spellEnd"/>
      <w:r>
        <w:rPr>
          <w:sz w:val="24"/>
          <w:szCs w:val="24"/>
        </w:rPr>
        <w:t xml:space="preserve"> 7.320 de esa Ciudad), a lo cual resta añadir que la calificación de la actividad ha sido sostenida por la Sala II de la Cámara de Apelaciones en lo Contencioso Administrativo de Córdoba, autos "MUNICIPALIDAD DE CORDOBA c/ UBER Y OTROS s/ AMPARO (Ley 4.915)", de fecha 30-10-2020, cita: MJ-JU-M-128820-AR / MJJ128820 Producto: COR, MJ).</w:t>
      </w:r>
    </w:p>
    <w:p w14:paraId="0DC55B2D" w14:textId="77777777" w:rsidR="00DA5247" w:rsidRDefault="00000000">
      <w:pPr>
        <w:spacing w:before="100" w:after="100" w:line="276" w:lineRule="auto"/>
        <w:jc w:val="both"/>
      </w:pPr>
      <w:r>
        <w:rPr>
          <w:sz w:val="24"/>
          <w:szCs w:val="24"/>
        </w:rPr>
        <w:t>Esa diferente naturaleza, trae aparejada distintos grados de injerencia estatal en la regulación, existiendo en mayor grado en el caso del servicio público, lo que justamente ha generado las reglas a que aluden los accionantes.</w:t>
      </w:r>
    </w:p>
    <w:p w14:paraId="6747797A" w14:textId="77777777" w:rsidR="00DA5247" w:rsidRDefault="00000000">
      <w:pPr>
        <w:spacing w:before="100" w:after="100" w:line="276" w:lineRule="auto"/>
        <w:jc w:val="both"/>
      </w:pPr>
      <w:r>
        <w:rPr>
          <w:sz w:val="24"/>
          <w:szCs w:val="24"/>
        </w:rPr>
        <w:lastRenderedPageBreak/>
        <w:t>No obstante lo expuesto, la supuesta menor injerencia por parte del Estado Municipal en la regulación de la actividad de transporte mediante aplicaciones digitales, conforme lo expresado por los accionantes, en realidad no es tal.</w:t>
      </w:r>
    </w:p>
    <w:p w14:paraId="3C0C3D00" w14:textId="77777777" w:rsidR="00DA5247" w:rsidRDefault="00000000">
      <w:pPr>
        <w:spacing w:before="100" w:after="100" w:line="276" w:lineRule="auto"/>
        <w:jc w:val="both"/>
      </w:pPr>
      <w:r>
        <w:rPr>
          <w:sz w:val="24"/>
          <w:szCs w:val="24"/>
        </w:rPr>
        <w:t xml:space="preserve">Así, la lectura del texto de la Ordenanza </w:t>
      </w:r>
      <w:proofErr w:type="spellStart"/>
      <w:r>
        <w:rPr>
          <w:sz w:val="24"/>
          <w:szCs w:val="24"/>
        </w:rPr>
        <w:t>N°</w:t>
      </w:r>
      <w:proofErr w:type="spellEnd"/>
      <w:r>
        <w:rPr>
          <w:sz w:val="24"/>
          <w:szCs w:val="24"/>
        </w:rPr>
        <w:t xml:space="preserve"> 16.377 da cuenta de las exigencias impuestas a quiénes prestan el servicio de </w:t>
      </w:r>
      <w:proofErr w:type="spellStart"/>
      <w:r>
        <w:rPr>
          <w:sz w:val="24"/>
          <w:szCs w:val="24"/>
        </w:rPr>
        <w:t>que</w:t>
      </w:r>
      <w:proofErr w:type="spellEnd"/>
      <w:r>
        <w:rPr>
          <w:sz w:val="24"/>
          <w:szCs w:val="24"/>
        </w:rPr>
        <w:t xml:space="preserve"> trata la misma, algunas de las cuales no son requeridas para quiénes prestan servicio de taxis. De esta manera, el artículo 7 establece lo siguiente:</w:t>
      </w:r>
    </w:p>
    <w:p w14:paraId="3C8CF042" w14:textId="77777777" w:rsidR="00DA5247" w:rsidRDefault="00000000">
      <w:pPr>
        <w:spacing w:before="100" w:after="100" w:line="276" w:lineRule="auto"/>
        <w:jc w:val="both"/>
      </w:pPr>
      <w:r>
        <w:rPr>
          <w:b/>
          <w:bCs/>
          <w:sz w:val="24"/>
          <w:szCs w:val="24"/>
        </w:rPr>
        <w:t>"ARTÍCULO 7°.- DE LOS REQUISITOS Y OBLIGACIONES.</w:t>
      </w:r>
      <w:r>
        <w:rPr>
          <w:sz w:val="24"/>
          <w:szCs w:val="24"/>
        </w:rPr>
        <w:t xml:space="preserve"> Para obtener la habilitación municipal y operar en la ciudad de Salta, las personas humanas y jurídicas, titulares de las plataformas digitales de transporte deberán cumplimentar con los siguientes requisitos y obligaciones: a) Copia del Documento Nacional de Identidad del titular o representante legal de la plataforma digital; b) Acreditar el carácter de titular o la vinculación que le otorgue la explotación de la plataforma; c) Constituir domicilio legal, pudiendo éste ser también electrónico. Para todos los efectos, la comunicación cursada a través de dicho domicilio se tendrá por válida y eficaz y el mismo subsistirá hasta tanto se constituya y comunique otro nuevo; d) Las personas jurídicas, independientemente del lugar geográfico de su constitución, deberán cumplir las mismas exigencias mencionadas en el inciso c) del presente artículo; e) Proporcionar un canal de soporte en línea mediante la aplicación para la gestión de reclamos y consultas de usuarios y conductores; f) Garantizar que los vehículos afectados al Servicio de Movilidad para Usuarios de Plataformas Digitales de Transporte, cuenten con el seguro para vehículos establecido en la Resolución </w:t>
      </w:r>
      <w:proofErr w:type="spellStart"/>
      <w:r>
        <w:rPr>
          <w:sz w:val="24"/>
          <w:szCs w:val="24"/>
        </w:rPr>
        <w:t>N°</w:t>
      </w:r>
      <w:proofErr w:type="spellEnd"/>
      <w:r>
        <w:rPr>
          <w:sz w:val="24"/>
          <w:szCs w:val="24"/>
        </w:rPr>
        <w:t xml:space="preserve"> 615/2019 de la Superintendencia de Seguros de la Nación; g) Garantizar al usuario la opción de compartir la ubicación en tiempo real con un tercero hasta finalizar el viaje; h) Garantizar la opción de tipo "botón de pánico" que genere una alerta en la plataforma de modo que pueda accionar un protocolo de actuación que posea vinculación directa con el Sistema de Emergencias 911 de la provincia de Salta, el cual deberá ser indicado al momento de solicitar la habilitación de la plataforma; i) Exigir y fiscalizar que los conductores afectados al servicio, cumplan con las obligaciones tributarias; j) Asignar viajes únicamente a los vehículos y conductores que se encuentren habilitados en cumplimiento a las disposiciones de esta ordenanza y su reglamentación; k) Garantizar que toda la operativa, incluyendo tanto la actividad que se presta a través de las plataformas electrónicas como el servicio de movilidad, cumpla con la legislación aplicable; l) Proporcionar, a requerimiento de la Autoridad de Aplicación, toda la información veraz, necesaria y útil, en los tiempos y forma que la reglamentación establezca, para conocer la identidad de los conductores y sus datos individualizantes en la plataforma digital de transporte; m) Informar los recorridos efectuados por cada vehículo, tarifas cobradas y cualquier otra información que se entienda necesaria para ejercer el debido control y fiscalización, cumpliendo con la normativa vigente de la protección de datos; n) Informar a los usuarios sobre los canales disponibles para presentar reclamos por incumplimientos de las obligaciones de los conductores y viajes; o) Informar a la Autoridad de Aplicación el registro de vehículos y conductores inscriptos en la plataforma digital de transporte".</w:t>
      </w:r>
    </w:p>
    <w:p w14:paraId="05E9E3DB" w14:textId="77777777" w:rsidR="00DA5247" w:rsidRDefault="00000000">
      <w:pPr>
        <w:spacing w:before="100" w:after="100" w:line="276" w:lineRule="auto"/>
        <w:jc w:val="both"/>
      </w:pPr>
      <w:r>
        <w:rPr>
          <w:sz w:val="24"/>
          <w:szCs w:val="24"/>
        </w:rPr>
        <w:lastRenderedPageBreak/>
        <w:t xml:space="preserve">Asimismo, el artículo 9 de la Ordenanza </w:t>
      </w:r>
      <w:proofErr w:type="spellStart"/>
      <w:r>
        <w:rPr>
          <w:sz w:val="24"/>
          <w:szCs w:val="24"/>
        </w:rPr>
        <w:t>N°</w:t>
      </w:r>
      <w:proofErr w:type="spellEnd"/>
      <w:r>
        <w:rPr>
          <w:sz w:val="24"/>
          <w:szCs w:val="24"/>
        </w:rPr>
        <w:t xml:space="preserve"> 16.377, establece que las Plataformas Digitales de Transporte en la Ciudad de Salta, deberán exigir e informar a la Autoridad de Aplicación de la presente ordenanza, el cumplimiento de los siguientes requisitos por parte de los conductores: a) Copia del Documento Nacional de Identidad; b) Ser propietario del vehículo con el que se brindará el servicio o estar debidamente autorizado para su uso. En este último caso, presentará la autorización otorgada por el propietario del vehículo y la documentación que acredite el carácter de titular del autorizante; c) La presentación de título y cédula del vehículo en formato digital o copia en soporte papel debidamente certificada; d) Contar con Licencia Nacional de Conductor Profesional para vehículos de más de dos ruedas y licencia correspondiente conforme legislación vigente, para vehículos de dos ruedas; e) Tener domicilio real en la ciudad de Salta, en los términos que se establezcan en la reglamentación de la presente ordenanza; f) Constituir domicilio electrónico conforme las previsiones de la Ordenanza </w:t>
      </w:r>
      <w:proofErr w:type="spellStart"/>
      <w:r>
        <w:rPr>
          <w:sz w:val="24"/>
          <w:szCs w:val="24"/>
        </w:rPr>
        <w:t>N°</w:t>
      </w:r>
      <w:proofErr w:type="spellEnd"/>
      <w:r>
        <w:rPr>
          <w:sz w:val="24"/>
          <w:szCs w:val="24"/>
        </w:rPr>
        <w:t xml:space="preserve"> 15.174 de adhesión a la Ley Nacional </w:t>
      </w:r>
      <w:proofErr w:type="spellStart"/>
      <w:r>
        <w:rPr>
          <w:sz w:val="24"/>
          <w:szCs w:val="24"/>
        </w:rPr>
        <w:t>N°</w:t>
      </w:r>
      <w:proofErr w:type="spellEnd"/>
      <w:r>
        <w:rPr>
          <w:sz w:val="24"/>
          <w:szCs w:val="24"/>
        </w:rPr>
        <w:t xml:space="preserve"> 25.506 de Firma Digital; g) Presentar certificado de libre deuda del Impuesto a la Radicación de Automotores del rodado afectado; h) La presentación del certificado de Antecedentes Penales expedido por la Policía de la provincia de Salta e informe del Registro Nacional de Reincidencia, emitido por la Unidad de Expedición y Recepción de Antecedentes Penales (U.E.R.). No serán habilitados quienes registren condenas o procesos pendientes en los que hubieran sido imputados por delitos contra la integridad sexual, previstos en el Titulo III, Capítulos II, III, IV y V del Libro Segundo del Código Penal".</w:t>
      </w:r>
    </w:p>
    <w:p w14:paraId="78D6EDCB" w14:textId="77777777" w:rsidR="00DA5247" w:rsidRDefault="00000000">
      <w:pPr>
        <w:spacing w:before="100" w:after="100" w:line="276" w:lineRule="auto"/>
        <w:jc w:val="both"/>
      </w:pPr>
      <w:r>
        <w:rPr>
          <w:sz w:val="24"/>
          <w:szCs w:val="24"/>
        </w:rPr>
        <w:t xml:space="preserve">Solo resta señalar que el artículo 13 de la Ordenanza </w:t>
      </w:r>
      <w:proofErr w:type="spellStart"/>
      <w:r>
        <w:rPr>
          <w:sz w:val="24"/>
          <w:szCs w:val="24"/>
        </w:rPr>
        <w:t>N°</w:t>
      </w:r>
      <w:proofErr w:type="spellEnd"/>
      <w:r>
        <w:rPr>
          <w:sz w:val="24"/>
          <w:szCs w:val="24"/>
        </w:rPr>
        <w:t xml:space="preserve"> 16.377, instituye con respecto a los vehículos con los que se desarrolle la actividad, que deben cumplimentar con los siguientes requisitos: a) No tener deuda en concepto de Impuesto a la Radicación de Automotores en la ciudad de Salta; b) Contar con Revisión Técnica Obligatoria (RTO) prevista en la Ordenanza </w:t>
      </w:r>
      <w:proofErr w:type="spellStart"/>
      <w:r>
        <w:rPr>
          <w:sz w:val="24"/>
          <w:szCs w:val="24"/>
        </w:rPr>
        <w:t>N°</w:t>
      </w:r>
      <w:proofErr w:type="spellEnd"/>
      <w:r>
        <w:rPr>
          <w:sz w:val="24"/>
          <w:szCs w:val="24"/>
        </w:rPr>
        <w:t xml:space="preserve"> 14.395 y sus modificatorias; c) Para el caso de vehículos de más de dos ruedas, tener una antigüedad máxima de quince (15) años, contados a partir de la fecha de fabricación; d) Para el caso de vehículos de dos ruedas, tener una antigüedad máxima de diez (10) años, contados a partir de la fecha de fabricación y dar cumplimiento a lo establecido en la Ordenanza </w:t>
      </w:r>
      <w:proofErr w:type="spellStart"/>
      <w:r>
        <w:rPr>
          <w:sz w:val="24"/>
          <w:szCs w:val="24"/>
        </w:rPr>
        <w:t>N°</w:t>
      </w:r>
      <w:proofErr w:type="spellEnd"/>
      <w:r>
        <w:rPr>
          <w:sz w:val="24"/>
          <w:szCs w:val="24"/>
        </w:rPr>
        <w:t xml:space="preserve"> 14.395 y sus modificatorias; e) Contar con el seguro para vehículos establecido en la Resolución </w:t>
      </w:r>
      <w:proofErr w:type="spellStart"/>
      <w:r>
        <w:rPr>
          <w:sz w:val="24"/>
          <w:szCs w:val="24"/>
        </w:rPr>
        <w:t>N°</w:t>
      </w:r>
      <w:proofErr w:type="spellEnd"/>
      <w:r>
        <w:rPr>
          <w:sz w:val="24"/>
          <w:szCs w:val="24"/>
        </w:rPr>
        <w:t xml:space="preserve"> 615/2019 de la Superintendencia de Seguros de la Nación; f) Estar en perfecto estado de funcionamiento, higiene y mantenimiento; y g) Cumplir con las normas de seguridad correspondientes".</w:t>
      </w:r>
    </w:p>
    <w:p w14:paraId="686D8F83" w14:textId="77777777" w:rsidR="00DA5247" w:rsidRDefault="00000000">
      <w:pPr>
        <w:spacing w:before="100" w:after="100" w:line="276" w:lineRule="auto"/>
        <w:jc w:val="both"/>
      </w:pPr>
      <w:r>
        <w:rPr>
          <w:sz w:val="24"/>
          <w:szCs w:val="24"/>
        </w:rPr>
        <w:t xml:space="preserve">A tales recaudos, se añaden los que emergen del Decreto Reglamentario </w:t>
      </w:r>
      <w:proofErr w:type="spellStart"/>
      <w:r>
        <w:rPr>
          <w:sz w:val="24"/>
          <w:szCs w:val="24"/>
        </w:rPr>
        <w:t>N°</w:t>
      </w:r>
      <w:proofErr w:type="spellEnd"/>
      <w:r>
        <w:rPr>
          <w:sz w:val="24"/>
          <w:szCs w:val="24"/>
        </w:rPr>
        <w:t xml:space="preserve"> 262/25, entre los que cabe citar la exigencia de descripción técnica de la plataforma, incluyendo funcionalidades de geolocalización, sistema de soporte en línea, protocolo de actuación vinculado al Sistema de Emergencias 911, mecanismos de evaluación de conductores por parte de los usuarios y un sistema de verificación que impida el uso de cuentas de terceros por parte de conductores; protocolo de seguridad que incluya botón de pánico con integración al sistema de emergencias 911, la opción de compartir ubicación en tiempo real y un sistema de verificación de identidad de conductores en tiempo real, con auditorías presenciales periódicas para detectar cuentas compartidas o fraudulentas.</w:t>
      </w:r>
    </w:p>
    <w:p w14:paraId="4E277DB7" w14:textId="77777777" w:rsidR="00DA5247" w:rsidRDefault="00000000">
      <w:pPr>
        <w:spacing w:before="100" w:after="100" w:line="276" w:lineRule="auto"/>
        <w:jc w:val="both"/>
      </w:pPr>
      <w:r>
        <w:rPr>
          <w:sz w:val="24"/>
          <w:szCs w:val="24"/>
        </w:rPr>
        <w:lastRenderedPageBreak/>
        <w:t>Lo descripto da cuenta entonces de la incorrecta manifestación de los actores, quiénes argumentan un proceder laxo por parte del Municipio Capitalino.</w:t>
      </w:r>
    </w:p>
    <w:p w14:paraId="5C0EA940" w14:textId="77777777" w:rsidR="00DA5247" w:rsidRDefault="00000000">
      <w:pPr>
        <w:spacing w:before="100" w:after="100" w:line="276" w:lineRule="auto"/>
        <w:jc w:val="both"/>
      </w:pPr>
      <w:r>
        <w:rPr>
          <w:sz w:val="24"/>
          <w:szCs w:val="24"/>
        </w:rPr>
        <w:t>Ahora bien, con relación a la circunstancia aludida por los accionantes en el sentido que los mismos se encuentran constreñidos al cobro de las tarifas establecidas por la autoridad regulatoria, tal circunstancia emerge justamente – de la naturaleza de "servicio público" de la actividad que realizan y no de un mero proceder antojadizo.</w:t>
      </w:r>
    </w:p>
    <w:p w14:paraId="397FD8F0" w14:textId="77777777" w:rsidR="00DA5247" w:rsidRDefault="00000000">
      <w:pPr>
        <w:spacing w:before="100" w:after="100" w:line="276" w:lineRule="auto"/>
        <w:jc w:val="both"/>
      </w:pPr>
      <w:r>
        <w:rPr>
          <w:sz w:val="24"/>
          <w:szCs w:val="24"/>
        </w:rPr>
        <w:t>A este respecto, no se advierte que la sujeción a una tarifa preestablecida implique por sí misma, como pretenden los actores, el sometimiento a una situación de desventaja respecto de quiénes prestan el servicio por medio de plataformas digitales, ello toda vez que, la cualidad de "servicio público impropio" de la actividad de taxis, ha determinado, a su vez, obtengan ciertas prerrogativas o concesiones estatales que otras actividades no detentan.</w:t>
      </w:r>
    </w:p>
    <w:p w14:paraId="78B23D1C" w14:textId="77777777" w:rsidR="00DA5247" w:rsidRDefault="00000000">
      <w:pPr>
        <w:spacing w:before="100" w:after="100" w:line="276" w:lineRule="auto"/>
        <w:jc w:val="both"/>
      </w:pPr>
      <w:r>
        <w:rPr>
          <w:sz w:val="24"/>
          <w:szCs w:val="24"/>
        </w:rPr>
        <w:t xml:space="preserve">Así y sin pretensión de exhaustividad, enumero las siguientes: 1°.- La existencia de cupos para acceder a licencias; 2.- La existencia de paradas fijas en distintos sectores de la Ciudad; y 3.- La autorización con carácter exclusivo para tomar pasajeros en la vía pública. A más de todo ello, se adiciona que el Concejo Deliberante de la Ciudad de Salta ha sancionado la Ordenanza </w:t>
      </w:r>
      <w:proofErr w:type="spellStart"/>
      <w:r>
        <w:rPr>
          <w:sz w:val="24"/>
          <w:szCs w:val="24"/>
        </w:rPr>
        <w:t>N°</w:t>
      </w:r>
      <w:proofErr w:type="spellEnd"/>
      <w:r>
        <w:rPr>
          <w:sz w:val="24"/>
          <w:szCs w:val="24"/>
        </w:rPr>
        <w:t xml:space="preserve"> 16.405 (publicada en el Boletín Oficial Municipal </w:t>
      </w:r>
      <w:proofErr w:type="spellStart"/>
      <w:r>
        <w:rPr>
          <w:sz w:val="24"/>
          <w:szCs w:val="24"/>
        </w:rPr>
        <w:t>N°</w:t>
      </w:r>
      <w:proofErr w:type="spellEnd"/>
      <w:r>
        <w:rPr>
          <w:sz w:val="24"/>
          <w:szCs w:val="24"/>
        </w:rPr>
        <w:t xml:space="preserve"> 2.710 del 30/06/2025), que incorpora el inciso "ñ" al artículo 126 del Código Tributario Municipal (Ordenanza </w:t>
      </w:r>
      <w:proofErr w:type="spellStart"/>
      <w:r>
        <w:rPr>
          <w:sz w:val="24"/>
          <w:szCs w:val="24"/>
        </w:rPr>
        <w:t>N°</w:t>
      </w:r>
      <w:proofErr w:type="spellEnd"/>
      <w:r>
        <w:rPr>
          <w:sz w:val="24"/>
          <w:szCs w:val="24"/>
        </w:rPr>
        <w:t xml:space="preserve"> 15.921), por el que se dispone eximir del pago del impuesto automotor a los vehículos destinados al Servicio Público Impropio de taxis y remises, exención que corresponde solamente a licencias individuales.</w:t>
      </w:r>
    </w:p>
    <w:p w14:paraId="68DF57C7" w14:textId="77777777" w:rsidR="00DA5247" w:rsidRDefault="00000000">
      <w:pPr>
        <w:spacing w:before="100" w:after="100" w:line="276" w:lineRule="auto"/>
        <w:jc w:val="both"/>
      </w:pPr>
      <w:r>
        <w:rPr>
          <w:sz w:val="24"/>
          <w:szCs w:val="24"/>
        </w:rPr>
        <w:t xml:space="preserve">A más de lo expuesto, el Ejecutivo Municipal suscribió un convenio con la A.M.T. por el que asume a partir del año 2.026, durante la vigencia del acuerdo y por cuenta y orden de los licenciatarios, el pago de los montos que correspondan en concepto de fiscalización anual y anticipada, el cual se encuentra aprobado por Resolución </w:t>
      </w:r>
      <w:proofErr w:type="spellStart"/>
      <w:r>
        <w:rPr>
          <w:sz w:val="24"/>
          <w:szCs w:val="24"/>
        </w:rPr>
        <w:t>N°</w:t>
      </w:r>
      <w:proofErr w:type="spellEnd"/>
      <w:r>
        <w:rPr>
          <w:sz w:val="24"/>
          <w:szCs w:val="24"/>
        </w:rPr>
        <w:t xml:space="preserve"> 476 del Concejo Deliberante de la Municipalidad de la Ciudad de Salta, el cual se ofrece como prueba juntamente con la presente.</w:t>
      </w:r>
    </w:p>
    <w:p w14:paraId="5B3749D4" w14:textId="77777777" w:rsidR="00DA5247" w:rsidRDefault="00000000">
      <w:pPr>
        <w:spacing w:before="100" w:after="100" w:line="276" w:lineRule="auto"/>
        <w:jc w:val="both"/>
      </w:pPr>
      <w:r>
        <w:rPr>
          <w:sz w:val="24"/>
          <w:szCs w:val="24"/>
        </w:rPr>
        <w:t xml:space="preserve">Finalmente, se dictó la Ordenanza </w:t>
      </w:r>
      <w:proofErr w:type="spellStart"/>
      <w:r>
        <w:rPr>
          <w:sz w:val="24"/>
          <w:szCs w:val="24"/>
        </w:rPr>
        <w:t>N°</w:t>
      </w:r>
      <w:proofErr w:type="spellEnd"/>
      <w:r>
        <w:rPr>
          <w:sz w:val="24"/>
          <w:szCs w:val="24"/>
        </w:rPr>
        <w:t xml:space="preserve"> 16.466, a través de la cual y entre otras cosas se equipara la antigüedad de los vehículos entre las modalidades de servicio público impropio de transporte por taxis y remises y el servicio de movilidad para usuarios de plataformas digitales de transporte, los cuales no podrán superar los quince (15) años.</w:t>
      </w:r>
    </w:p>
    <w:p w14:paraId="7318305D" w14:textId="77777777" w:rsidR="00DA5247" w:rsidRDefault="00000000">
      <w:pPr>
        <w:spacing w:before="100" w:after="100" w:line="276" w:lineRule="auto"/>
        <w:jc w:val="both"/>
      </w:pPr>
      <w:r>
        <w:rPr>
          <w:sz w:val="24"/>
          <w:szCs w:val="24"/>
        </w:rPr>
        <w:t>Lo hasta aquí expresado da cuenta entonces de la falta de razón del planteo efectuado por los actores, quiénes alegan circunstancias que en modo alguno se cumplen en el caso, tales como una supuesta afectación al principio de igualdad y/o de razonabilidad y/o del derecho a trabajar contenidos en la Constitución Provincial.</w:t>
      </w:r>
    </w:p>
    <w:p w14:paraId="020464A3" w14:textId="77777777" w:rsidR="00DA5247" w:rsidRDefault="00000000">
      <w:pPr>
        <w:spacing w:before="100" w:after="100" w:line="276" w:lineRule="auto"/>
        <w:jc w:val="both"/>
      </w:pPr>
      <w:r>
        <w:rPr>
          <w:sz w:val="24"/>
          <w:szCs w:val="24"/>
        </w:rPr>
        <w:t xml:space="preserve">Resulta necesario aclarar que la Ordenanza </w:t>
      </w:r>
      <w:proofErr w:type="spellStart"/>
      <w:r>
        <w:rPr>
          <w:sz w:val="24"/>
          <w:szCs w:val="24"/>
        </w:rPr>
        <w:t>N°</w:t>
      </w:r>
      <w:proofErr w:type="spellEnd"/>
      <w:r>
        <w:rPr>
          <w:sz w:val="24"/>
          <w:szCs w:val="24"/>
        </w:rPr>
        <w:t xml:space="preserve"> 16.377, prevé en su artículo 6 que el Servicio Público Impropio de Transporte por taxis o remises que reúna las condiciones y requisitos establecidos por la Autoridad de Aplicación, podrán prestar el Servicio de Movilidad para Usuarios de Plataformas Digitales de Transporte. Es decir, los supuestos afectados por la habilitación normativa, pueden hacer uso de la misma y </w:t>
      </w:r>
      <w:r>
        <w:rPr>
          <w:sz w:val="24"/>
          <w:szCs w:val="24"/>
        </w:rPr>
        <w:lastRenderedPageBreak/>
        <w:t>ampliar su servicio, incorporándose también a las plataformas digitales de intermediación de transporte.</w:t>
      </w:r>
    </w:p>
    <w:p w14:paraId="7D9576A3" w14:textId="77777777" w:rsidR="00DA5247" w:rsidRDefault="00000000">
      <w:pPr>
        <w:spacing w:before="100" w:after="100" w:line="276" w:lineRule="auto"/>
        <w:jc w:val="both"/>
      </w:pPr>
      <w:r>
        <w:rPr>
          <w:sz w:val="24"/>
          <w:szCs w:val="24"/>
        </w:rPr>
        <w:t xml:space="preserve">Colofón de lo hasta aquí expuesto, la Ordenanza </w:t>
      </w:r>
      <w:proofErr w:type="spellStart"/>
      <w:r>
        <w:rPr>
          <w:sz w:val="24"/>
          <w:szCs w:val="24"/>
        </w:rPr>
        <w:t>N°</w:t>
      </w:r>
      <w:proofErr w:type="spellEnd"/>
      <w:r>
        <w:rPr>
          <w:sz w:val="24"/>
          <w:szCs w:val="24"/>
        </w:rPr>
        <w:t xml:space="preserve"> 16.377, juntamente con su Decreto Reglamentario </w:t>
      </w:r>
      <w:proofErr w:type="spellStart"/>
      <w:r>
        <w:rPr>
          <w:sz w:val="24"/>
          <w:szCs w:val="24"/>
        </w:rPr>
        <w:t>N°</w:t>
      </w:r>
      <w:proofErr w:type="spellEnd"/>
      <w:r>
        <w:rPr>
          <w:sz w:val="24"/>
          <w:szCs w:val="24"/>
        </w:rPr>
        <w:t xml:space="preserve"> 262/25, no afecta el principio de igualdad en los términos que fue delineado por la Corte Suprema de Justicia de la Nación.</w:t>
      </w:r>
    </w:p>
    <w:p w14:paraId="69F5389C" w14:textId="77777777" w:rsidR="00DA5247" w:rsidRDefault="00000000">
      <w:pPr>
        <w:spacing w:before="100" w:after="100" w:line="276" w:lineRule="auto"/>
        <w:jc w:val="both"/>
      </w:pPr>
      <w:r>
        <w:rPr>
          <w:sz w:val="24"/>
          <w:szCs w:val="24"/>
        </w:rPr>
        <w:t xml:space="preserve">De manera coincidente con la conclusión a la que se ha arribado, la Corte de Justicia de la Provincia de Mendoza, territorio en el que rige una normativa semejante a la cuestionada y frente a un planteo similar de taxistas (nucleados bajo la Asociación de Propietarios de Taxis de Mendoza), sostuvo: "3.b.- Hechas las consideraciones precedentes, en el caso no se advierte que las normas cuestionadas violenten el principio de igualdad del art. 16 de la Constitución Nacional, ni de los artículos 7 y 32 de la Constitución Provincial, al reglamentar la actividad e incorporar en la misma la posibilidad de que el servicio sea prestado a través de plataformas electrónicas, conforme a las especificaciones que establece para el caso en examen y que desarrolla en el articulado que aquí se pone en crisis. Al respecto, la era digital ha transformado la manera de actuar y relacionarse de las personas, los Estados y las organizaciones. La tecnología nos atraviesa en todas las áreas de la vida, de la sociedad. Surgen así nuevos intereses, conflictos, relaciones jurídicas, obligaciones, responsabilidades y derechos. Sumado a que mundialmente, la situación de pandemia por COVID-19, aceleró y profundizó la incorporación de tecnologías en todos los ámbitos no solo local, sino global. Respecto a movilidad urbana, en América Latina y el Caribe se ha incrementado sustancialmente la adopción de alternativas o nuevos modelos de transporte urbano, basado en plataformas tecnológicas que facilitan al usuario planear y programar sus trayectos de manera rápida y eficaz, a través de aplicaciones móviles (BID, </w:t>
      </w:r>
      <w:proofErr w:type="spellStart"/>
      <w:r>
        <w:rPr>
          <w:sz w:val="24"/>
          <w:szCs w:val="24"/>
        </w:rPr>
        <w:t>Moviliblog</w:t>
      </w:r>
      <w:proofErr w:type="spellEnd"/>
      <w:r>
        <w:rPr>
          <w:sz w:val="24"/>
          <w:szCs w:val="24"/>
        </w:rPr>
        <w:t>, Cuál es el futuro de la movilidad en América Latina y el Caribe? 12/03/2018, en https://blogs.iadb.org/transporte/es/elfuturo de la movilidad/, consultado 01/02/2022).</w:t>
      </w:r>
    </w:p>
    <w:p w14:paraId="7F89B0EE" w14:textId="77777777" w:rsidR="00DA5247" w:rsidRDefault="00000000">
      <w:pPr>
        <w:spacing w:before="100" w:after="100" w:line="276" w:lineRule="auto"/>
        <w:jc w:val="both"/>
      </w:pPr>
      <w:r>
        <w:rPr>
          <w:sz w:val="24"/>
          <w:szCs w:val="24"/>
        </w:rPr>
        <w:t xml:space="preserve">Si bien en cientos de ciudades del mundo dichos servicios operan sin regulación, bajo el marco normativo de habilitación que hacen a las normas generales de fondo, en el 2.018 el legislador mendocino adoptó la decisión de regular el "servicio de transporte privado de interés público a </w:t>
      </w:r>
      <w:proofErr w:type="spellStart"/>
      <w:r>
        <w:rPr>
          <w:sz w:val="24"/>
          <w:szCs w:val="24"/>
        </w:rPr>
        <w:t>travus</w:t>
      </w:r>
      <w:proofErr w:type="spellEnd"/>
      <w:r>
        <w:rPr>
          <w:sz w:val="24"/>
          <w:szCs w:val="24"/>
        </w:rPr>
        <w:t xml:space="preserve"> de plataformas electrónicas" (SCJMENDOZA, CUIJ: 13-04410472-9 "ASOCIACIÓN DE PROPIETARIOS DE TAXIS DE MENDOZA (A.PRO.TA.M.) c/ GOBIERNO DE LA PROVINCIA DE MENDOZA p/ ACCIÓN DE INCONSTITUCIONALIDAD", Sentencia del 19/05/2022).</w:t>
      </w:r>
    </w:p>
    <w:p w14:paraId="605588C1" w14:textId="77777777" w:rsidR="00DA5247" w:rsidRDefault="00000000">
      <w:pPr>
        <w:spacing w:before="100" w:after="100" w:line="276" w:lineRule="auto"/>
        <w:jc w:val="both"/>
      </w:pPr>
      <w:r>
        <w:rPr>
          <w:sz w:val="24"/>
          <w:szCs w:val="24"/>
        </w:rPr>
        <w:t>Se agrega a este acápite que ya en el precedente "Neville" antes citado, la C.S.J.N. sostuvo que: "No existe un derecho adquirido al mantenimiento de las leyes o reglamentos ni a su inalterabilidad" (Fallos: 308:1361).</w:t>
      </w:r>
    </w:p>
    <w:p w14:paraId="4C6C3C57" w14:textId="77777777" w:rsidR="00DA5247" w:rsidRDefault="00000000">
      <w:pPr>
        <w:spacing w:before="100" w:after="100" w:line="276" w:lineRule="auto"/>
        <w:jc w:val="both"/>
      </w:pPr>
      <w:r>
        <w:rPr>
          <w:sz w:val="24"/>
          <w:szCs w:val="24"/>
        </w:rPr>
        <w:t xml:space="preserve">A más de todo lo expuesto y conforme tiene dicho la doctrina, "... el derecho, por definición, distingue, crea categorías y dispone clasificaciones. Así, entre muchas otras: deudor/acreedor; mayores/menores de edad; inocentes/culpables de ilícitos; imputados/procesados/condenados; solteros/casados/viudos/separados/divorciados; capaces/incapaces. La negación de esas diferenciaciones, u otras que pudieran requerirse, equivaldría tanto como impedir la sanción de normas (María Angélica </w:t>
      </w:r>
      <w:proofErr w:type="spellStart"/>
      <w:r>
        <w:rPr>
          <w:sz w:val="24"/>
          <w:szCs w:val="24"/>
        </w:rPr>
        <w:t>Gelli</w:t>
      </w:r>
      <w:proofErr w:type="spellEnd"/>
      <w:r>
        <w:rPr>
          <w:sz w:val="24"/>
          <w:szCs w:val="24"/>
        </w:rPr>
        <w:t xml:space="preserve">, </w:t>
      </w:r>
      <w:r>
        <w:rPr>
          <w:sz w:val="24"/>
          <w:szCs w:val="24"/>
        </w:rPr>
        <w:lastRenderedPageBreak/>
        <w:t>Constitución de la Nación Argentina comentada y concordada, 6ta. Edición, Tomo I, Editorial La Ley, pág. 351 tercer párrafo).</w:t>
      </w:r>
    </w:p>
    <w:p w14:paraId="6F53A27B" w14:textId="77777777" w:rsidR="00DA5247" w:rsidRDefault="00DA5247"/>
    <w:p w14:paraId="768D3075" w14:textId="77777777" w:rsidR="00DA5247" w:rsidRDefault="00000000">
      <w:pPr>
        <w:spacing w:before="200" w:after="100" w:line="276" w:lineRule="auto"/>
        <w:jc w:val="center"/>
      </w:pPr>
      <w:r>
        <w:rPr>
          <w:b/>
          <w:bCs/>
          <w:sz w:val="24"/>
          <w:szCs w:val="24"/>
          <w:u w:val="single"/>
        </w:rPr>
        <w:t>La supuesta falta de competencia del Municipio:</w:t>
      </w:r>
    </w:p>
    <w:p w14:paraId="2188E860" w14:textId="77777777" w:rsidR="00DA5247" w:rsidRDefault="00000000">
      <w:pPr>
        <w:spacing w:before="100" w:after="100" w:line="276" w:lineRule="auto"/>
        <w:jc w:val="both"/>
      </w:pPr>
      <w:r>
        <w:rPr>
          <w:sz w:val="24"/>
          <w:szCs w:val="24"/>
        </w:rPr>
        <w:t xml:space="preserve">Se argumenta una supuesta falta de competencia por parte del Municipio Capitalino para el dictado de la Ordenanza que se objeta, aludiéndose puntualmente que la Ley Provincial </w:t>
      </w:r>
      <w:proofErr w:type="spellStart"/>
      <w:r>
        <w:rPr>
          <w:sz w:val="24"/>
          <w:szCs w:val="24"/>
        </w:rPr>
        <w:t>N°</w:t>
      </w:r>
      <w:proofErr w:type="spellEnd"/>
      <w:r>
        <w:rPr>
          <w:sz w:val="24"/>
          <w:szCs w:val="24"/>
        </w:rPr>
        <w:t xml:space="preserve"> 7.322, atribuye a la A.M.T. las facultades de planificación, organización, ejecución, regulación, fiscalización y control necesarias para garantizar la normal prestación del servicio público propio e impropio de transporte de personas. De esta manera, entienden los accionantes que la regulación por parte del Municipio de la actividad de transporte con la intermediación de plataformas digitales implicaría invadir la competencia provincial que emerge de la ley precitada.</w:t>
      </w:r>
    </w:p>
    <w:p w14:paraId="1C4765B2" w14:textId="77777777" w:rsidR="00DA5247" w:rsidRDefault="00000000">
      <w:pPr>
        <w:spacing w:before="100" w:after="100" w:line="276" w:lineRule="auto"/>
        <w:jc w:val="both"/>
      </w:pPr>
      <w:r>
        <w:rPr>
          <w:sz w:val="24"/>
          <w:szCs w:val="24"/>
        </w:rPr>
        <w:t xml:space="preserve">Ahora bien, puesto frente a tales cuestionamientos, corresponde apuntar que, tal como ha sido precisado supra, la Provincia, mediante Leyes </w:t>
      </w:r>
      <w:proofErr w:type="spellStart"/>
      <w:r>
        <w:rPr>
          <w:sz w:val="24"/>
          <w:szCs w:val="24"/>
        </w:rPr>
        <w:t>N°</w:t>
      </w:r>
      <w:proofErr w:type="spellEnd"/>
      <w:r>
        <w:rPr>
          <w:sz w:val="24"/>
          <w:szCs w:val="24"/>
        </w:rPr>
        <w:t xml:space="preserve"> 6.994 y 7.322, ostenta competencia en lo relativo al "servicio público propio e impropio de transporte", siendo éstos los de taxis y remises. Sin embargo,</w:t>
      </w:r>
    </w:p>
    <w:p w14:paraId="7A1527B1" w14:textId="77777777" w:rsidR="00DA5247" w:rsidRDefault="00000000">
      <w:pPr>
        <w:spacing w:before="100" w:after="100" w:line="276" w:lineRule="auto"/>
        <w:jc w:val="both"/>
      </w:pPr>
      <w:r>
        <w:rPr>
          <w:b/>
          <w:bCs/>
          <w:sz w:val="24"/>
          <w:szCs w:val="24"/>
        </w:rPr>
        <w:t>en todo transporte de personas que no encuadre dentro de tales categorías, la autoridad competente continúa siendo el Municipio</w:t>
      </w:r>
      <w:r>
        <w:rPr>
          <w:sz w:val="24"/>
          <w:szCs w:val="24"/>
        </w:rPr>
        <w:t>, como es el caso del transporte escolar o el servicio de transporte mediante plataformas digitales. Estamos ante potestades concurrentes de la Provincia con los Municipios.</w:t>
      </w:r>
    </w:p>
    <w:p w14:paraId="18A09CD3" w14:textId="77777777" w:rsidR="00DA5247" w:rsidRDefault="00000000">
      <w:pPr>
        <w:spacing w:before="100" w:after="100" w:line="276" w:lineRule="auto"/>
        <w:jc w:val="both"/>
      </w:pPr>
      <w:r>
        <w:rPr>
          <w:sz w:val="24"/>
          <w:szCs w:val="24"/>
        </w:rPr>
        <w:t xml:space="preserve">Se destaca asimismo que la competencia municipal para el dictado de la Ordenanza </w:t>
      </w:r>
      <w:proofErr w:type="spellStart"/>
      <w:r>
        <w:rPr>
          <w:sz w:val="24"/>
          <w:szCs w:val="24"/>
        </w:rPr>
        <w:t>N°</w:t>
      </w:r>
      <w:proofErr w:type="spellEnd"/>
      <w:r>
        <w:rPr>
          <w:sz w:val="24"/>
          <w:szCs w:val="24"/>
        </w:rPr>
        <w:t xml:space="preserve"> 16.337 no ha sido cuestionada por la A.M.T., quién, de ser correcto lo expresado por los accionantes, hubiera sido la principal interesada en atacar la norma, cosa que no ocurrió.</w:t>
      </w:r>
    </w:p>
    <w:p w14:paraId="64AD174D" w14:textId="77777777" w:rsidR="00DA5247" w:rsidRDefault="00000000">
      <w:pPr>
        <w:spacing w:before="100" w:after="100" w:line="276" w:lineRule="auto"/>
        <w:jc w:val="both"/>
      </w:pPr>
      <w:r>
        <w:rPr>
          <w:sz w:val="24"/>
          <w:szCs w:val="24"/>
        </w:rPr>
        <w:t>Es decir, resulta prístina, por imperio del artículo 22 inciso t) de la Carta Municipal, la competencia comunal en la regulación del transporte de personas que no revista el carácter de "servicio público", lo que claramente acontece en el presente caso.</w:t>
      </w:r>
    </w:p>
    <w:p w14:paraId="5F63DE34" w14:textId="77777777" w:rsidR="00DA5247" w:rsidRDefault="00000000">
      <w:pPr>
        <w:spacing w:before="100" w:after="100" w:line="276" w:lineRule="auto"/>
        <w:jc w:val="both"/>
      </w:pPr>
      <w:r>
        <w:rPr>
          <w:sz w:val="24"/>
          <w:szCs w:val="24"/>
        </w:rPr>
        <w:t xml:space="preserve">Vale destacar que, el proceder de la Municipalidad de regular una actividad que ya se venía desarrollando en la Ciudad, vino a llenar un vacío legislativo que en su momento y en otra Provincia fue objeto de pronunciamiento por la judicatura. Así, se dijo: "Que la Constitución Nacional y los Tratados Internacionales sobre Derechos Humanos, reconocen el derecho a ejercer actividad o industria lícita, asociarse libremente, a la elección, a trabajar (arts. 14, 14 bis, 41, 42, 75 inc. 22 y </w:t>
      </w:r>
      <w:proofErr w:type="spellStart"/>
      <w:r>
        <w:rPr>
          <w:sz w:val="24"/>
          <w:szCs w:val="24"/>
        </w:rPr>
        <w:t>cc</w:t>
      </w:r>
      <w:proofErr w:type="spellEnd"/>
      <w:r>
        <w:rPr>
          <w:sz w:val="24"/>
          <w:szCs w:val="24"/>
        </w:rPr>
        <w:t xml:space="preserve"> C.N.), derechos que, a su vez, suponen el reconocimiento y el respeto al margen de libertad para desarrollar creativamente los medios, razonables y proporcionales para cumplir un fin lícito. Ese margen de libertad, cuando se trata de una actividad privada de interés general, cualquiera sea la técnica empleada y el alcance de su organización, admite un margen de intervención administrativa, en la que los límites a los derechos individuales se justifican constitucionalmente en la medida de lo estrictamente necesario para la salvaguarda del bienestar general y la construcción de la cultura por la paz social. Ahora bien, lo que no puede la Administración Municipal, quien tiene la potestad exclusiva </w:t>
      </w:r>
      <w:r>
        <w:rPr>
          <w:sz w:val="24"/>
          <w:szCs w:val="24"/>
        </w:rPr>
        <w:lastRenderedPageBreak/>
        <w:t>de la regulación legislativa y administrativa, es diferir sine die, más allá de todo tiempo razonable y sin que existan razones subjetivas que justifiquen la demora, la regulación de la implementación operativa de una actividad lícita, como es en este caso la del transporte de auto con chofer mediado por tecnología digital, que afecta directamente al ejercicio de un derecho constitucional, pues la omisión relativa de regulación legal y de su reglamentación administrativa para su implementación operativa comporta, de hecho, como ha ocurrido en este proceso, ya no una regulación limitativa del derechos constitucional, sino el impedimento absoluto de su ejercicio" (Sala II de la Cámara de Apelaciones en lo Contencioso Administrativo de Córdoba en los autos "Municipalidad de Córdoba c/ Uber y otros s/ Amparo (ley 4.915", Fecha 30/10/2020, Cita: MJ-JU-M-128820-AR / MJJ128820 Producto: COR, MJ).</w:t>
      </w:r>
    </w:p>
    <w:p w14:paraId="15506D0D" w14:textId="77777777" w:rsidR="00DA5247" w:rsidRDefault="00000000">
      <w:pPr>
        <w:spacing w:before="100" w:after="100" w:line="276" w:lineRule="auto"/>
        <w:jc w:val="both"/>
      </w:pPr>
      <w:r>
        <w:rPr>
          <w:sz w:val="24"/>
          <w:szCs w:val="24"/>
        </w:rPr>
        <w:t xml:space="preserve">Por su parte, el Tribunal Superior de Justicia de la Provincia de Córdoba </w:t>
      </w:r>
      <w:proofErr w:type="spellStart"/>
      <w:r>
        <w:rPr>
          <w:sz w:val="24"/>
          <w:szCs w:val="24"/>
        </w:rPr>
        <w:t>a</w:t>
      </w:r>
      <w:proofErr w:type="spellEnd"/>
      <w:r>
        <w:rPr>
          <w:sz w:val="24"/>
          <w:szCs w:val="24"/>
        </w:rPr>
        <w:t xml:space="preserve"> sostenido lo siguiente:</w:t>
      </w:r>
    </w:p>
    <w:p w14:paraId="49743E60" w14:textId="77777777" w:rsidR="00DA5247" w:rsidRDefault="00000000">
      <w:pPr>
        <w:spacing w:before="100" w:after="100" w:line="276" w:lineRule="auto"/>
        <w:jc w:val="both"/>
      </w:pPr>
      <w:r>
        <w:rPr>
          <w:sz w:val="24"/>
          <w:szCs w:val="24"/>
        </w:rPr>
        <w:t xml:space="preserve">"En tercer lugar y como corolario de lo que se ha desarrollado en el plano estrictamente conceptual, no puede negarse que Uber supone un fenómeno mundial que desafía las categorías que hasta ahora se tenían sobre la materia. Esto, desde el momento que su telón de fondo es la posibilidad de que el servicio pueda ser contratado instantáneamente, en tiempo real y de forma digital (por medio de una aplicación digital o app). Por lo tanto, el Estado (en su nivel municipal), dejaría de cumplir su insustituible función de regulador de la convivencia social si no afrontara este fenómeno regulándolo en forma expresa, por más difíciles, problemáticas, controvertidas y polémicas que pudieran resultar muchas de sus aristas. .... Como consecuencia, una exégesis estática de las constituciones de la Nación y de la Provincia, como de las leyes reglamentarias y del resto del ordenamiento jurídico (provincial y municipal), aferradas a las circunstancias de su sanción o a un determinado momento histórico, no siempre resulta adecuada. Esto, dado que, así concebidas, "no serían normas idóneas para perdurar y regular la evolución de la vida social, que siempre estaría sujeta a las condiciones originarias y no a aquellos en las que deben ser aplicadas, complementadas o, directamente, reformuladas. Tal forma de concebir las cosas – como también lo tiene dicho la Corte – "importaría la paralización de la acción gubernativa y del progreso de la República" (T.S.J.C. - </w:t>
      </w:r>
      <w:proofErr w:type="spellStart"/>
      <w:r>
        <w:rPr>
          <w:sz w:val="24"/>
          <w:szCs w:val="24"/>
        </w:rPr>
        <w:t>Expte</w:t>
      </w:r>
      <w:proofErr w:type="spellEnd"/>
      <w:r>
        <w:rPr>
          <w:sz w:val="24"/>
          <w:szCs w:val="24"/>
        </w:rPr>
        <w:t>. SAC: 9885595 - Municipalidad de Córdoba c/ Uber y otros - Amparo ley 4.915" SAC 8709011).</w:t>
      </w:r>
    </w:p>
    <w:p w14:paraId="0B89BAA0" w14:textId="77777777" w:rsidR="00DA5247" w:rsidRDefault="00DA5247"/>
    <w:p w14:paraId="3DC9461F" w14:textId="77777777" w:rsidR="00DA5247" w:rsidRDefault="00000000">
      <w:pPr>
        <w:spacing w:before="200" w:after="100" w:line="276" w:lineRule="auto"/>
        <w:jc w:val="center"/>
      </w:pPr>
      <w:r>
        <w:rPr>
          <w:b/>
          <w:bCs/>
          <w:sz w:val="24"/>
          <w:szCs w:val="24"/>
          <w:u w:val="single"/>
        </w:rPr>
        <w:t>La supuesta afectación al derecho del trabajo:</w:t>
      </w:r>
    </w:p>
    <w:p w14:paraId="6D93DD5D" w14:textId="77777777" w:rsidR="00DA5247" w:rsidRDefault="00000000">
      <w:pPr>
        <w:spacing w:before="100" w:after="100" w:line="276" w:lineRule="auto"/>
        <w:jc w:val="both"/>
      </w:pPr>
      <w:r>
        <w:rPr>
          <w:sz w:val="24"/>
          <w:szCs w:val="24"/>
        </w:rPr>
        <w:t>Los accionantes aluden a una supuesta afectación al derecho a trabajar que les asiste, entendiendo que la habilitación de la actividad en cuestión implicaría para ellos afectar su fuente de ingresos.</w:t>
      </w:r>
    </w:p>
    <w:p w14:paraId="5CA02B46" w14:textId="77777777" w:rsidR="00DA5247" w:rsidRDefault="00000000">
      <w:pPr>
        <w:spacing w:before="100" w:after="100" w:line="276" w:lineRule="auto"/>
        <w:jc w:val="both"/>
      </w:pPr>
      <w:r>
        <w:rPr>
          <w:sz w:val="24"/>
          <w:szCs w:val="24"/>
        </w:rPr>
        <w:t>Lo primero que debe señalarse al respecto es que, tal como emerge del artículo 6 de la Ordenanza cuestionada, quienes realizan la actividad de taxis pueden también prestar servicio mediante la intermediación de plataformas digitales.</w:t>
      </w:r>
    </w:p>
    <w:p w14:paraId="07A90B41" w14:textId="77777777" w:rsidR="00DA5247" w:rsidRDefault="00000000">
      <w:pPr>
        <w:spacing w:before="100" w:after="100" w:line="276" w:lineRule="auto"/>
        <w:jc w:val="both"/>
      </w:pPr>
      <w:r>
        <w:rPr>
          <w:sz w:val="24"/>
          <w:szCs w:val="24"/>
        </w:rPr>
        <w:lastRenderedPageBreak/>
        <w:t>A ello se agregan los beneficios específicos de los que goza el servicio público impropio de taxis (los que han sido objeto de mención ut supra), así como también la circunstancia ya mencionada – con cita jurisprudencial – que nadie tiene derecho al mantenimiento de una determinada norma o a su invariabilidad.</w:t>
      </w:r>
    </w:p>
    <w:p w14:paraId="7B216286" w14:textId="77777777" w:rsidR="00DA5247" w:rsidRDefault="00000000">
      <w:pPr>
        <w:spacing w:before="100" w:after="100" w:line="276" w:lineRule="auto"/>
        <w:jc w:val="both"/>
      </w:pPr>
      <w:r>
        <w:rPr>
          <w:sz w:val="24"/>
          <w:szCs w:val="24"/>
        </w:rPr>
        <w:t xml:space="preserve">Insisten los actores en que su actividad se encuentra sujeta a una regulación que determina un trato preferente a la cuestionada. Sin embargo y tal como ha sido puesto de manifiesto a lo largo de la presente, la Ordenanza </w:t>
      </w:r>
      <w:proofErr w:type="spellStart"/>
      <w:r>
        <w:rPr>
          <w:sz w:val="24"/>
          <w:szCs w:val="24"/>
        </w:rPr>
        <w:t>N°</w:t>
      </w:r>
      <w:proofErr w:type="spellEnd"/>
      <w:r>
        <w:rPr>
          <w:sz w:val="24"/>
          <w:szCs w:val="24"/>
        </w:rPr>
        <w:t xml:space="preserve"> 16.377 y su Decreto Reglamentario imponen una serie de requisitos que deben cumplir tanto las plataformas como los choferes. Incluso, podemos advertir exigencias mayores en éstos últimos, tales como contar con libre deuda de impuesto automotor del vehículo con el que se presta el servicio (artículo 10.e del Decreto </w:t>
      </w:r>
      <w:proofErr w:type="spellStart"/>
      <w:r>
        <w:rPr>
          <w:sz w:val="24"/>
          <w:szCs w:val="24"/>
        </w:rPr>
        <w:t>N°</w:t>
      </w:r>
      <w:proofErr w:type="spellEnd"/>
      <w:r>
        <w:rPr>
          <w:sz w:val="24"/>
          <w:szCs w:val="24"/>
        </w:rPr>
        <w:t xml:space="preserve"> 326/25) y/o la que dispone que las plataformas deberán exigir y fiscalizar que los conductores afectados al servicio cumplan con las obligaciones tributarias (artículo 7 inciso i de la Ordenanza </w:t>
      </w:r>
      <w:proofErr w:type="spellStart"/>
      <w:r>
        <w:rPr>
          <w:sz w:val="24"/>
          <w:szCs w:val="24"/>
        </w:rPr>
        <w:t>N°</w:t>
      </w:r>
      <w:proofErr w:type="spellEnd"/>
      <w:r>
        <w:rPr>
          <w:sz w:val="24"/>
          <w:szCs w:val="24"/>
        </w:rPr>
        <w:t xml:space="preserve"> 16.377).</w:t>
      </w:r>
    </w:p>
    <w:p w14:paraId="4ACDAB6F" w14:textId="77777777" w:rsidR="00DA5247" w:rsidRDefault="00000000">
      <w:pPr>
        <w:spacing w:before="100" w:after="100" w:line="276" w:lineRule="auto"/>
        <w:jc w:val="both"/>
      </w:pPr>
      <w:r>
        <w:rPr>
          <w:sz w:val="24"/>
          <w:szCs w:val="24"/>
        </w:rPr>
        <w:t xml:space="preserve">A más de lo expuesto, resulta importante hacer notar que, las reglamentaciones de los derechos económicos tales como el derecho a trabajar y ejercer industria lícita, se justifican en razón de intereses generales no siempre sencillos de precisar y que, por lo tanto, implican elecciones políticas de conveniencia y oportunidad, conforme atribuciones propias de los poderes del Estado (María Angélica </w:t>
      </w:r>
      <w:proofErr w:type="spellStart"/>
      <w:r>
        <w:rPr>
          <w:sz w:val="24"/>
          <w:szCs w:val="24"/>
        </w:rPr>
        <w:t>Gelli</w:t>
      </w:r>
      <w:proofErr w:type="spellEnd"/>
      <w:r>
        <w:rPr>
          <w:sz w:val="24"/>
          <w:szCs w:val="24"/>
        </w:rPr>
        <w:t>, Constitución de la Nación Argentina comentada y concordada, 6ta. Edición, Tomo I, Editorial La Ley, pág. 140 primer párrafo).</w:t>
      </w:r>
    </w:p>
    <w:p w14:paraId="4F36ABCC" w14:textId="77777777" w:rsidR="00DA5247" w:rsidRDefault="00000000">
      <w:pPr>
        <w:spacing w:before="100" w:after="100" w:line="276" w:lineRule="auto"/>
        <w:jc w:val="both"/>
      </w:pPr>
      <w:r>
        <w:rPr>
          <w:sz w:val="24"/>
          <w:szCs w:val="24"/>
        </w:rPr>
        <w:t>"El arbitrio que tiene la administración para apreciar, dentro de ciertos márgenes, cuál es la decisión que satisface mejor el interés público, se diferencia de la interpretación de la ley en que no se limita a desentrañar su significado y alcance, pues aporta su voluntad integradora de la norma, para lo cual la Administración ejerce una facultad que le es propia" (</w:t>
      </w:r>
      <w:proofErr w:type="spellStart"/>
      <w:r>
        <w:rPr>
          <w:sz w:val="24"/>
          <w:szCs w:val="24"/>
        </w:rPr>
        <w:t>Luqui</w:t>
      </w:r>
      <w:proofErr w:type="spellEnd"/>
      <w:r>
        <w:rPr>
          <w:sz w:val="24"/>
          <w:szCs w:val="24"/>
        </w:rPr>
        <w:t xml:space="preserve"> Roberto Enrique – Revisión Judicial de la Actividad Administrativa – Ed. Astrea - pág. 200 segundo párrafo).</w:t>
      </w:r>
    </w:p>
    <w:p w14:paraId="7F698F37" w14:textId="77777777" w:rsidR="00DA5247" w:rsidRDefault="00000000">
      <w:pPr>
        <w:spacing w:before="100" w:after="100" w:line="276" w:lineRule="auto"/>
        <w:jc w:val="both"/>
      </w:pPr>
      <w:r>
        <w:rPr>
          <w:sz w:val="24"/>
          <w:szCs w:val="24"/>
        </w:rPr>
        <w:t>"La discrecionalidad no es revisable judicialmente en cuanto al mérito de la decisión*, pues ello implicaría sustituir el arbitrio administrativo por el arbitrio judicial, sin que medie vinculación con norma alguna. Sólo los aspectos que atañen a la legitimidad del acto son revisables por la justicia" (</w:t>
      </w:r>
      <w:proofErr w:type="spellStart"/>
      <w:r>
        <w:rPr>
          <w:sz w:val="24"/>
          <w:szCs w:val="24"/>
        </w:rPr>
        <w:t>Luqui</w:t>
      </w:r>
      <w:proofErr w:type="spellEnd"/>
      <w:r>
        <w:rPr>
          <w:sz w:val="24"/>
          <w:szCs w:val="24"/>
        </w:rPr>
        <w:t xml:space="preserve"> Roberto Enrique – Revisión Judicial de la Actividad Administrativa – Ed. Astrea - pág. 200 tercer párrafo).</w:t>
      </w:r>
    </w:p>
    <w:p w14:paraId="0FA83695" w14:textId="77777777" w:rsidR="00DA5247" w:rsidRDefault="00000000">
      <w:pPr>
        <w:spacing w:before="100" w:after="100" w:line="276" w:lineRule="auto"/>
        <w:jc w:val="both"/>
      </w:pPr>
      <w:r>
        <w:rPr>
          <w:sz w:val="24"/>
          <w:szCs w:val="24"/>
        </w:rPr>
        <w:t xml:space="preserve">"El mérito de la decisión es, como sostiene </w:t>
      </w:r>
      <w:proofErr w:type="spellStart"/>
      <w:r>
        <w:rPr>
          <w:sz w:val="24"/>
          <w:szCs w:val="24"/>
        </w:rPr>
        <w:t>Virga</w:t>
      </w:r>
      <w:proofErr w:type="spellEnd"/>
      <w:r>
        <w:rPr>
          <w:sz w:val="24"/>
          <w:szCs w:val="24"/>
        </w:rPr>
        <w:t>, "la correspondencia entre el contenido del acto y el resultado al cuál éste debiere tender", confrontación que se efectúa según las reglas de buena administración (</w:t>
      </w:r>
      <w:proofErr w:type="spellStart"/>
      <w:r>
        <w:rPr>
          <w:sz w:val="24"/>
          <w:szCs w:val="24"/>
        </w:rPr>
        <w:t>Diritto</w:t>
      </w:r>
      <w:proofErr w:type="spellEnd"/>
      <w:r>
        <w:rPr>
          <w:sz w:val="24"/>
          <w:szCs w:val="24"/>
        </w:rPr>
        <w:t xml:space="preserve"> </w:t>
      </w:r>
      <w:proofErr w:type="spellStart"/>
      <w:r>
        <w:rPr>
          <w:sz w:val="24"/>
          <w:szCs w:val="24"/>
        </w:rPr>
        <w:t>amministrativo</w:t>
      </w:r>
      <w:proofErr w:type="spellEnd"/>
      <w:r>
        <w:rPr>
          <w:sz w:val="24"/>
          <w:szCs w:val="24"/>
        </w:rPr>
        <w:t>, t II, p. 10).</w:t>
      </w:r>
    </w:p>
    <w:p w14:paraId="4342A082" w14:textId="77777777" w:rsidR="00DA5247" w:rsidRDefault="00000000">
      <w:pPr>
        <w:spacing w:before="100" w:after="100" w:line="276" w:lineRule="auto"/>
        <w:jc w:val="both"/>
      </w:pPr>
      <w:r>
        <w:rPr>
          <w:sz w:val="24"/>
          <w:szCs w:val="24"/>
        </w:rPr>
        <w:t>En el presente caso no se está prohibiendo y/o afectando el derecho a trabajar, al contrario, se está reglamentando el derecho a trabajar en una actividad específica y bajo reglas concretas, con lo cual la constitucionalidad de la Ordenanza resulta indudable.</w:t>
      </w:r>
    </w:p>
    <w:p w14:paraId="6E1485C6" w14:textId="77777777" w:rsidR="00DA5247" w:rsidRDefault="00DA5247"/>
    <w:p w14:paraId="245CE203" w14:textId="77777777" w:rsidR="00DA5247" w:rsidRDefault="00000000">
      <w:pPr>
        <w:spacing w:before="200" w:after="100" w:line="276" w:lineRule="auto"/>
        <w:jc w:val="center"/>
      </w:pPr>
      <w:r>
        <w:rPr>
          <w:b/>
          <w:bCs/>
          <w:sz w:val="24"/>
          <w:szCs w:val="24"/>
          <w:u w:val="single"/>
        </w:rPr>
        <w:t>La supuesta vulneración de la ley 24.240:</w:t>
      </w:r>
    </w:p>
    <w:p w14:paraId="1A5741EB" w14:textId="77777777" w:rsidR="00DA5247" w:rsidRDefault="00000000">
      <w:pPr>
        <w:spacing w:before="100" w:after="100" w:line="276" w:lineRule="auto"/>
        <w:jc w:val="both"/>
      </w:pPr>
      <w:r>
        <w:rPr>
          <w:sz w:val="24"/>
          <w:szCs w:val="24"/>
        </w:rPr>
        <w:t xml:space="preserve">Se argumenta asimismo una supuesta afectación a la Ley de Defensa del Consumidor, lo que en modo alguno es correcto, ello toda vez que el Municipio ha tomado la </w:t>
      </w:r>
      <w:r>
        <w:rPr>
          <w:sz w:val="24"/>
          <w:szCs w:val="24"/>
        </w:rPr>
        <w:lastRenderedPageBreak/>
        <w:t>iniciativa de regular una actividad que de hecho se venía desarrollando en la Ciudad, como así también incluir en la Ordenanza en cuestión disposiciones claramente dirigidas al resguardo de los derechos de los consumidores y usuarios.</w:t>
      </w:r>
    </w:p>
    <w:p w14:paraId="20888A06" w14:textId="77777777" w:rsidR="00DA5247" w:rsidRDefault="00000000">
      <w:pPr>
        <w:spacing w:before="100" w:after="100" w:line="276" w:lineRule="auto"/>
        <w:jc w:val="both"/>
      </w:pPr>
      <w:r>
        <w:rPr>
          <w:sz w:val="24"/>
          <w:szCs w:val="24"/>
        </w:rPr>
        <w:t xml:space="preserve">A modo ejemplificativo, me remito a las disposiciones del artículo 7 de la Ordenanza </w:t>
      </w:r>
      <w:proofErr w:type="spellStart"/>
      <w:r>
        <w:rPr>
          <w:sz w:val="24"/>
          <w:szCs w:val="24"/>
        </w:rPr>
        <w:t>N°</w:t>
      </w:r>
      <w:proofErr w:type="spellEnd"/>
      <w:r>
        <w:rPr>
          <w:sz w:val="24"/>
          <w:szCs w:val="24"/>
        </w:rPr>
        <w:t xml:space="preserve"> 16.377, el cual se transcribe seguidamente: "ARTÍCULO 7°.- DE LOS REQUISITOS Y OBLIGACIONES. Para obtener la habilitación municipal y operar en la ciudad de Salta, las personas humanas y jurídicas, titulares de las plataformas digitales de transporte deberán cumplimentar con los siguientes requisitos y obligaciones: c) Constituir domicilio legal, pudiendo este ser también electrónico. Para todos los efectos, la comunicación cursada a través de dicho domicilio se tendrá por válida y eficaz y el mismo subsistirá hasta tanto se constituya y comunique otro nuevo; d) Las personas jurídicas, independientemente del lugar geográfico de su constitución, deberán cumplir las mismas exigencias mencionadas en el inciso c) del presente artículo; e) Proporcionar un canal de soporte en línea mediante la aplicación para la gestión de reclamos y consultas de usuarios y conductores; f) Garantizar que los vehículos afectados al Servicio de Movilidad para Usuarios de Plataformas Digitales de Transporte, cuenten con el seguro para vehículos establecido en la Resolución </w:t>
      </w:r>
      <w:proofErr w:type="spellStart"/>
      <w:r>
        <w:rPr>
          <w:sz w:val="24"/>
          <w:szCs w:val="24"/>
        </w:rPr>
        <w:t>N°</w:t>
      </w:r>
      <w:proofErr w:type="spellEnd"/>
      <w:r>
        <w:rPr>
          <w:sz w:val="24"/>
          <w:szCs w:val="24"/>
        </w:rPr>
        <w:t xml:space="preserve"> 615/2019 de la Superintendencia de Seguros de la Nación; g) Garantizar al usuario la opción de compartir la ubicación en tiempo real con un tercero hasta finalizar el viaje; h) Garantizar la opción de tipo "botón de pánico" que genere una alerta en la plataforma de modo que pueda accionar un protocolo de actuación que posea vinculación directa con el Sistema de Emergencias 911 de la provincia de Salta, el cual deberá ser indicado al momento de solicitar la habilitación de la plataforma; m) Informar los recorridos efectuados por cada vehículo, tarifas cobradas y cualquier otra información que se entienda necesaria para ejercer el debido control y fiscalización, cumpliendo con la normativa vigente de la protección de datos; n) Informar a los usuarios sobre los canales disponibles para presentar reclamos por incumplimientos de las obligaciones de los conductores y viajes; ...".</w:t>
      </w:r>
    </w:p>
    <w:p w14:paraId="3123BDC1" w14:textId="77777777" w:rsidR="00DA5247" w:rsidRDefault="00000000">
      <w:pPr>
        <w:spacing w:before="100" w:after="100" w:line="276" w:lineRule="auto"/>
        <w:jc w:val="both"/>
      </w:pPr>
      <w:r>
        <w:rPr>
          <w:sz w:val="24"/>
          <w:szCs w:val="24"/>
        </w:rPr>
        <w:t>Por su parte, el artículo 10 de la Ordenanza en cuestión parte pertinente, establece lo siguiente: "ARTÍCULO 10.-DE LAS OBLIGACIONES. Las obligaciones del conductor afectado al Servicio de Movilidad para Usuarios de Plataformas Digitales de Transporte, son las siguientes: ... b) Mantener el vehículo afectado al servicio en perfecto estado de funcionamiento, higiene, mantenimiento, conforme a las normas de seguridad correspondientes; c) Permitir y facilitar el ascenso de canes guías y de asistencia que acompañen a personas con discapacidad que precisen de los mismos.</w:t>
      </w:r>
    </w:p>
    <w:p w14:paraId="43336A15" w14:textId="77777777" w:rsidR="00DA5247" w:rsidRDefault="00000000">
      <w:pPr>
        <w:spacing w:before="100" w:after="100" w:line="276" w:lineRule="auto"/>
        <w:jc w:val="both"/>
      </w:pPr>
      <w:r>
        <w:rPr>
          <w:sz w:val="24"/>
          <w:szCs w:val="24"/>
        </w:rPr>
        <w:t>Asimismo, el Decreto Reglamentario ya mencionado prevé en su artículo 7 inciso "g", que las plataformas deberán contar con un plan de gestión de reclamos con un plazo máximo de respuesta de 48 horas y un mecanismo de resolución de conflictos que incluye mediación entre usuarios, conductores y la plataforma. Se instituye asimismo que la plataforma deberá reportar trimestralmente a la Autoridad de Aplicación los reclamos recibidos y sus resoluciones.</w:t>
      </w:r>
    </w:p>
    <w:p w14:paraId="267980B8" w14:textId="77777777" w:rsidR="00DA5247" w:rsidRDefault="00000000">
      <w:pPr>
        <w:spacing w:before="100" w:after="100" w:line="276" w:lineRule="auto"/>
        <w:jc w:val="both"/>
      </w:pPr>
      <w:r>
        <w:rPr>
          <w:sz w:val="24"/>
          <w:szCs w:val="24"/>
        </w:rPr>
        <w:lastRenderedPageBreak/>
        <w:t>Por su parte, el artículo 8 del mismo texto legal, en su inciso "c" establece que las plataformas habilitadas deberán comunicar al usuario antes de aceptar el viaje, incluyendo un desglose claro de costos, tarifa base, distancia, tiempo y recargos, es decir, las disposiciones indicadas persiguen claramente, el debido resguardo de los consumidores y usuarios, quiénes, anteriormente, no contaban con un escenario regulatorio claro y protectorio.</w:t>
      </w:r>
    </w:p>
    <w:p w14:paraId="1E4BEB90" w14:textId="77777777" w:rsidR="00DA5247" w:rsidRDefault="00DA5247"/>
    <w:p w14:paraId="6198A92F" w14:textId="77777777" w:rsidR="00DA5247" w:rsidRDefault="00000000">
      <w:pPr>
        <w:spacing w:before="200" w:after="100" w:line="276" w:lineRule="auto"/>
        <w:jc w:val="center"/>
      </w:pPr>
      <w:r>
        <w:rPr>
          <w:b/>
          <w:bCs/>
          <w:sz w:val="24"/>
          <w:szCs w:val="24"/>
          <w:u w:val="single"/>
        </w:rPr>
        <w:t>La supuesta afectación de la ley de competencia:</w:t>
      </w:r>
    </w:p>
    <w:p w14:paraId="389F60EB" w14:textId="77777777" w:rsidR="00DA5247" w:rsidRDefault="00000000">
      <w:pPr>
        <w:spacing w:before="100" w:after="100" w:line="276" w:lineRule="auto"/>
        <w:jc w:val="both"/>
      </w:pPr>
      <w:r>
        <w:rPr>
          <w:sz w:val="24"/>
          <w:szCs w:val="24"/>
        </w:rPr>
        <w:t>Corresponde destacar que, las alegaciones de los actores referidas a una supuesta competencia desleal por parte de las plataformas de intermediación en el transporte, no se corresponden con la acción intentada ni guardan vinculación alguna con la normativa que se ha dictado, razón por la cual la actora deberá ocurrir por la vía que corresponda.</w:t>
      </w:r>
    </w:p>
    <w:p w14:paraId="5555DFFA" w14:textId="77777777" w:rsidR="00DA5247" w:rsidRDefault="00000000">
      <w:pPr>
        <w:spacing w:before="100" w:after="100" w:line="276" w:lineRule="auto"/>
        <w:jc w:val="both"/>
      </w:pPr>
      <w:r>
        <w:rPr>
          <w:sz w:val="24"/>
          <w:szCs w:val="24"/>
        </w:rPr>
        <w:t>En efecto, la acción popular de inconstitucionalidad permite analizar la Ordenanza puesta en crisis bajo la luz de la Constitución Provincial, pero en modo alguno se pueden invocar normas federales para cuestionar la misma, estamos ante un caso exclusivamente de derecho público provincial.</w:t>
      </w:r>
    </w:p>
    <w:p w14:paraId="5A7E5408" w14:textId="77777777" w:rsidR="00DA5247" w:rsidRDefault="00000000">
      <w:pPr>
        <w:spacing w:before="100" w:after="100" w:line="276" w:lineRule="auto"/>
        <w:jc w:val="both"/>
      </w:pPr>
      <w:r>
        <w:rPr>
          <w:sz w:val="24"/>
          <w:szCs w:val="24"/>
        </w:rPr>
        <w:t>En este sentido, tiene dicho la jurisprudencia lo siguiente:</w:t>
      </w:r>
    </w:p>
    <w:p w14:paraId="3B6AAB6C" w14:textId="77777777" w:rsidR="00DA5247" w:rsidRDefault="00000000">
      <w:pPr>
        <w:spacing w:before="100" w:after="100" w:line="276" w:lineRule="auto"/>
        <w:jc w:val="both"/>
      </w:pPr>
      <w:r>
        <w:rPr>
          <w:sz w:val="24"/>
          <w:szCs w:val="24"/>
        </w:rPr>
        <w:t xml:space="preserve">"... La acción popular de inconstitucionalidad es de carácter abstracto y su objeto se limita a verificar la compatibilidad de las normas impugnadas con las de la Carta Magna local que se dicen vulneradas y a efectuar la declaración correspondiente, sin que en este marco deba discutirse una situación concreta y particularizada, es decir, se resuelve un conflicto </w:t>
      </w:r>
      <w:proofErr w:type="spellStart"/>
      <w:r>
        <w:rPr>
          <w:sz w:val="24"/>
          <w:szCs w:val="24"/>
        </w:rPr>
        <w:t>internormativo</w:t>
      </w:r>
      <w:proofErr w:type="spellEnd"/>
      <w:r>
        <w:rPr>
          <w:sz w:val="24"/>
          <w:szCs w:val="24"/>
        </w:rPr>
        <w:t xml:space="preserve"> sin atender a circunstancias fácticas concretas. (voto del Dr. </w:t>
      </w:r>
      <w:proofErr w:type="spellStart"/>
      <w:r>
        <w:rPr>
          <w:sz w:val="24"/>
          <w:szCs w:val="24"/>
        </w:rPr>
        <w:t>Samsón</w:t>
      </w:r>
      <w:proofErr w:type="spellEnd"/>
      <w:r>
        <w:rPr>
          <w:sz w:val="24"/>
          <w:szCs w:val="24"/>
        </w:rPr>
        <w:t xml:space="preserve"> - "Pedroza", Tomo 197:149).</w:t>
      </w:r>
    </w:p>
    <w:p w14:paraId="063F1306" w14:textId="77777777" w:rsidR="00DA5247" w:rsidRDefault="00000000">
      <w:pPr>
        <w:spacing w:before="100" w:after="100" w:line="276" w:lineRule="auto"/>
        <w:jc w:val="both"/>
      </w:pPr>
      <w:r>
        <w:rPr>
          <w:sz w:val="24"/>
          <w:szCs w:val="24"/>
        </w:rPr>
        <w:t>No obstante lo expuesto, hacemos notar que las manifestaciones de la contraria respecto de este punto constituyen meras manifestaciones que esta parte niega y desconoce por no corresponderse con la realidad de los hechos ni encontrarse probadas.</w:t>
      </w:r>
    </w:p>
    <w:p w14:paraId="3CC976EA" w14:textId="77777777" w:rsidR="00DA5247" w:rsidRDefault="00DA5247"/>
    <w:p w14:paraId="17E3CF85" w14:textId="77777777" w:rsidR="00DA5247" w:rsidRDefault="00000000">
      <w:pPr>
        <w:spacing w:before="100" w:after="100" w:line="276" w:lineRule="auto"/>
        <w:jc w:val="center"/>
      </w:pPr>
      <w:r>
        <w:rPr>
          <w:b/>
          <w:bCs/>
          <w:sz w:val="24"/>
          <w:szCs w:val="24"/>
        </w:rPr>
        <w:t>IV.- PRUEBA:</w:t>
      </w:r>
    </w:p>
    <w:p w14:paraId="199CD2FF" w14:textId="77777777" w:rsidR="00DA5247" w:rsidRDefault="00000000">
      <w:pPr>
        <w:spacing w:before="100" w:after="100" w:line="276" w:lineRule="auto"/>
        <w:jc w:val="both"/>
      </w:pPr>
      <w:r>
        <w:rPr>
          <w:sz w:val="24"/>
          <w:szCs w:val="24"/>
        </w:rPr>
        <w:t>Se ofrecen los siguientes medios probatorios:</w:t>
      </w:r>
    </w:p>
    <w:p w14:paraId="30574486" w14:textId="77777777" w:rsidR="00DA5247" w:rsidRDefault="00000000">
      <w:pPr>
        <w:spacing w:before="100" w:after="100" w:line="276" w:lineRule="auto"/>
        <w:jc w:val="both"/>
      </w:pPr>
      <w:proofErr w:type="spellStart"/>
      <w:r>
        <w:rPr>
          <w:sz w:val="24"/>
          <w:szCs w:val="24"/>
        </w:rPr>
        <w:t>VI.a</w:t>
      </w:r>
      <w:proofErr w:type="spellEnd"/>
      <w:r>
        <w:rPr>
          <w:sz w:val="24"/>
          <w:szCs w:val="24"/>
        </w:rPr>
        <w:t>.-  Documental:</w:t>
      </w:r>
    </w:p>
    <w:p w14:paraId="1EEC91E3" w14:textId="77777777" w:rsidR="00DA5247" w:rsidRDefault="00000000">
      <w:pPr>
        <w:spacing w:before="100" w:after="100" w:line="276" w:lineRule="auto"/>
        <w:jc w:val="both"/>
      </w:pPr>
      <w:proofErr w:type="spellStart"/>
      <w:r>
        <w:rPr>
          <w:sz w:val="24"/>
          <w:szCs w:val="24"/>
        </w:rPr>
        <w:t>VI.a.a</w:t>
      </w:r>
      <w:proofErr w:type="spellEnd"/>
      <w:r>
        <w:rPr>
          <w:sz w:val="24"/>
          <w:szCs w:val="24"/>
        </w:rPr>
        <w:t>.- Designación y poder para juicios;</w:t>
      </w:r>
    </w:p>
    <w:p w14:paraId="74A576B2" w14:textId="77777777" w:rsidR="00DA5247" w:rsidRDefault="00000000">
      <w:pPr>
        <w:spacing w:before="100" w:after="100" w:line="276" w:lineRule="auto"/>
        <w:jc w:val="both"/>
      </w:pPr>
      <w:proofErr w:type="spellStart"/>
      <w:r>
        <w:rPr>
          <w:sz w:val="24"/>
          <w:szCs w:val="24"/>
        </w:rPr>
        <w:t>VI.a.b</w:t>
      </w:r>
      <w:proofErr w:type="spellEnd"/>
      <w:r>
        <w:rPr>
          <w:sz w:val="24"/>
          <w:szCs w:val="24"/>
        </w:rPr>
        <w:t xml:space="preserve">.- Decreto Municipal </w:t>
      </w:r>
      <w:proofErr w:type="spellStart"/>
      <w:r>
        <w:rPr>
          <w:sz w:val="24"/>
          <w:szCs w:val="24"/>
        </w:rPr>
        <w:t>N°</w:t>
      </w:r>
      <w:proofErr w:type="spellEnd"/>
      <w:r>
        <w:rPr>
          <w:sz w:val="24"/>
          <w:szCs w:val="24"/>
        </w:rPr>
        <w:t xml:space="preserve"> 262/25 y su anexo;</w:t>
      </w:r>
    </w:p>
    <w:p w14:paraId="0AC78493" w14:textId="77777777" w:rsidR="00DA5247" w:rsidRDefault="00000000">
      <w:pPr>
        <w:spacing w:before="100" w:after="100" w:line="276" w:lineRule="auto"/>
        <w:jc w:val="both"/>
      </w:pPr>
      <w:proofErr w:type="spellStart"/>
      <w:r>
        <w:rPr>
          <w:sz w:val="24"/>
          <w:szCs w:val="24"/>
        </w:rPr>
        <w:t>VI.a.b</w:t>
      </w:r>
      <w:proofErr w:type="spellEnd"/>
      <w:r>
        <w:rPr>
          <w:sz w:val="24"/>
          <w:szCs w:val="24"/>
        </w:rPr>
        <w:t xml:space="preserve">.- Convenio suscripto con la A.M.T. ratificado por Resolución </w:t>
      </w:r>
      <w:proofErr w:type="spellStart"/>
      <w:r>
        <w:rPr>
          <w:sz w:val="24"/>
          <w:szCs w:val="24"/>
        </w:rPr>
        <w:t>N°</w:t>
      </w:r>
      <w:proofErr w:type="spellEnd"/>
      <w:r>
        <w:rPr>
          <w:sz w:val="24"/>
          <w:szCs w:val="24"/>
        </w:rPr>
        <w:t xml:space="preserve"> 476/25 del Concejo Deliberante;</w:t>
      </w:r>
    </w:p>
    <w:p w14:paraId="2335C343" w14:textId="77777777" w:rsidR="00DA5247" w:rsidRDefault="00000000">
      <w:pPr>
        <w:spacing w:before="100" w:after="100" w:line="276" w:lineRule="auto"/>
        <w:jc w:val="both"/>
      </w:pPr>
      <w:proofErr w:type="spellStart"/>
      <w:r>
        <w:rPr>
          <w:sz w:val="24"/>
          <w:szCs w:val="24"/>
        </w:rPr>
        <w:t>VI.a.c</w:t>
      </w:r>
      <w:proofErr w:type="spellEnd"/>
      <w:r>
        <w:rPr>
          <w:sz w:val="24"/>
          <w:szCs w:val="24"/>
        </w:rPr>
        <w:t>.- Copia del Boletín Oficial Municipal de la Ordenanza 16.466.</w:t>
      </w:r>
    </w:p>
    <w:p w14:paraId="60909C3B" w14:textId="77777777" w:rsidR="00DA5247" w:rsidRDefault="00DA5247"/>
    <w:p w14:paraId="26C67ACC" w14:textId="77777777" w:rsidR="00DA5247" w:rsidRDefault="00000000">
      <w:pPr>
        <w:spacing w:before="100" w:after="100" w:line="276" w:lineRule="auto"/>
        <w:jc w:val="center"/>
      </w:pPr>
      <w:r>
        <w:rPr>
          <w:b/>
          <w:bCs/>
          <w:sz w:val="24"/>
          <w:szCs w:val="24"/>
        </w:rPr>
        <w:t>V.- RESERVA:</w:t>
      </w:r>
    </w:p>
    <w:p w14:paraId="2761A526" w14:textId="77777777" w:rsidR="00DA5247" w:rsidRDefault="00000000">
      <w:pPr>
        <w:spacing w:before="100" w:after="100" w:line="276" w:lineRule="auto"/>
        <w:jc w:val="both"/>
      </w:pPr>
      <w:r>
        <w:rPr>
          <w:sz w:val="24"/>
          <w:szCs w:val="24"/>
        </w:rPr>
        <w:lastRenderedPageBreak/>
        <w:t>A todo evento y dado que una sentencia adversa a los derechos de esta parte devendría arbitraria por apartamiento del derecho vigente y consiguiente vulneración de las garantías constitucionales de legalidad, razonabilidad y justicia, formulamos expresa reserva del recurso extraordinario federal.</w:t>
      </w:r>
    </w:p>
    <w:p w14:paraId="68096FC1" w14:textId="77777777" w:rsidR="00DA5247" w:rsidRDefault="00DA5247"/>
    <w:p w14:paraId="4D112DDB" w14:textId="77777777" w:rsidR="00DA5247" w:rsidRDefault="00000000">
      <w:pPr>
        <w:spacing w:before="100" w:after="100" w:line="276" w:lineRule="auto"/>
        <w:jc w:val="center"/>
      </w:pPr>
      <w:r>
        <w:rPr>
          <w:b/>
          <w:bCs/>
          <w:sz w:val="24"/>
          <w:szCs w:val="24"/>
        </w:rPr>
        <w:t>VI.- PETITORIO:</w:t>
      </w:r>
    </w:p>
    <w:p w14:paraId="2719163B" w14:textId="77777777" w:rsidR="00DA5247" w:rsidRDefault="00000000">
      <w:pPr>
        <w:spacing w:before="100" w:after="100" w:line="276" w:lineRule="auto"/>
        <w:jc w:val="both"/>
      </w:pPr>
      <w:r>
        <w:rPr>
          <w:sz w:val="24"/>
          <w:szCs w:val="24"/>
        </w:rPr>
        <w:t>De S.E. solicito:</w:t>
      </w:r>
    </w:p>
    <w:p w14:paraId="0876AFF3" w14:textId="77777777" w:rsidR="00DA5247" w:rsidRDefault="00000000">
      <w:pPr>
        <w:spacing w:before="100" w:after="100" w:line="276" w:lineRule="auto"/>
        <w:jc w:val="both"/>
      </w:pPr>
      <w:r>
        <w:rPr>
          <w:sz w:val="24"/>
          <w:szCs w:val="24"/>
        </w:rPr>
        <w:t>1°) Tenga por contestada demanda en tiempo y forma;</w:t>
      </w:r>
    </w:p>
    <w:p w14:paraId="4C48C0F0" w14:textId="77777777" w:rsidR="00DA5247" w:rsidRDefault="00000000">
      <w:pPr>
        <w:spacing w:before="100" w:after="100" w:line="276" w:lineRule="auto"/>
        <w:jc w:val="both"/>
      </w:pPr>
      <w:r>
        <w:rPr>
          <w:sz w:val="24"/>
          <w:szCs w:val="24"/>
        </w:rPr>
        <w:t>2°) Por formulada reserva recursiva; y</w:t>
      </w:r>
    </w:p>
    <w:p w14:paraId="1E1E91DA" w14:textId="77777777" w:rsidR="00DA5247" w:rsidRDefault="00000000">
      <w:pPr>
        <w:spacing w:before="100" w:after="100" w:line="276" w:lineRule="auto"/>
        <w:jc w:val="both"/>
      </w:pPr>
      <w:r>
        <w:rPr>
          <w:sz w:val="24"/>
          <w:szCs w:val="24"/>
        </w:rPr>
        <w:t>3°) Oportunamente, se rechace la acción intentada en todas sus partes, con costas, lo que</w:t>
      </w:r>
    </w:p>
    <w:p w14:paraId="15CE29CC" w14:textId="77777777" w:rsidR="00DA5247" w:rsidRDefault="00DA5247"/>
    <w:p w14:paraId="2126232B" w14:textId="77777777" w:rsidR="00DA5247" w:rsidRDefault="00000000">
      <w:pPr>
        <w:spacing w:before="100" w:after="100" w:line="276" w:lineRule="auto"/>
        <w:jc w:val="center"/>
      </w:pPr>
      <w:r>
        <w:rPr>
          <w:b/>
          <w:bCs/>
          <w:sz w:val="24"/>
          <w:szCs w:val="24"/>
        </w:rPr>
        <w:t>SERA JUSTICIA</w:t>
      </w:r>
    </w:p>
    <w:p w14:paraId="4F1FFAF7" w14:textId="77777777" w:rsidR="00DA5247" w:rsidRDefault="00DA5247"/>
    <w:p w14:paraId="18EBC779" w14:textId="77777777" w:rsidR="00DA5247" w:rsidRDefault="00DA5247"/>
    <w:p w14:paraId="28503C75" w14:textId="77777777" w:rsidR="00DA5247" w:rsidRDefault="00000000">
      <w:pPr>
        <w:spacing w:before="100" w:after="100" w:line="276" w:lineRule="auto"/>
        <w:jc w:val="both"/>
      </w:pPr>
      <w:proofErr w:type="spellStart"/>
      <w:r>
        <w:rPr>
          <w:sz w:val="24"/>
          <w:szCs w:val="24"/>
        </w:rPr>
        <w:t>Naldo</w:t>
      </w:r>
      <w:proofErr w:type="spellEnd"/>
      <w:r>
        <w:rPr>
          <w:sz w:val="24"/>
          <w:szCs w:val="24"/>
        </w:rPr>
        <w:t xml:space="preserve"> Martín González                                        Matías René Risso</w:t>
      </w:r>
    </w:p>
    <w:p w14:paraId="292C23A1" w14:textId="77777777" w:rsidR="00DA5247" w:rsidRDefault="00000000">
      <w:pPr>
        <w:spacing w:before="100" w:after="100" w:line="276" w:lineRule="auto"/>
        <w:jc w:val="both"/>
      </w:pPr>
      <w:r>
        <w:rPr>
          <w:sz w:val="24"/>
          <w:szCs w:val="24"/>
        </w:rPr>
        <w:t>Abogado Mat. 2013                                        Procurador General</w:t>
      </w:r>
    </w:p>
    <w:sectPr w:rsidR="00DA5247">
      <w:pgSz w:w="11906" w:h="16838"/>
      <w:pgMar w:top="1440" w:right="1800" w:bottom="1440" w:left="18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F42FD3"/>
    <w:multiLevelType w:val="hybridMultilevel"/>
    <w:tmpl w:val="E62243AC"/>
    <w:lvl w:ilvl="0" w:tplc="A36E4FFA">
      <w:start w:val="1"/>
      <w:numFmt w:val="bullet"/>
      <w:lvlText w:val="●"/>
      <w:lvlJc w:val="left"/>
      <w:pPr>
        <w:ind w:left="720" w:hanging="360"/>
      </w:pPr>
    </w:lvl>
    <w:lvl w:ilvl="1" w:tplc="B644E566">
      <w:start w:val="1"/>
      <w:numFmt w:val="bullet"/>
      <w:lvlText w:val="○"/>
      <w:lvlJc w:val="left"/>
      <w:pPr>
        <w:ind w:left="1440" w:hanging="360"/>
      </w:pPr>
    </w:lvl>
    <w:lvl w:ilvl="2" w:tplc="FC12ED62">
      <w:start w:val="1"/>
      <w:numFmt w:val="bullet"/>
      <w:lvlText w:val="■"/>
      <w:lvlJc w:val="left"/>
      <w:pPr>
        <w:ind w:left="2160" w:hanging="360"/>
      </w:pPr>
    </w:lvl>
    <w:lvl w:ilvl="3" w:tplc="6A243ED4">
      <w:start w:val="1"/>
      <w:numFmt w:val="bullet"/>
      <w:lvlText w:val="●"/>
      <w:lvlJc w:val="left"/>
      <w:pPr>
        <w:ind w:left="2880" w:hanging="360"/>
      </w:pPr>
    </w:lvl>
    <w:lvl w:ilvl="4" w:tplc="CB6A50CA">
      <w:start w:val="1"/>
      <w:numFmt w:val="bullet"/>
      <w:lvlText w:val="○"/>
      <w:lvlJc w:val="left"/>
      <w:pPr>
        <w:ind w:left="3600" w:hanging="360"/>
      </w:pPr>
    </w:lvl>
    <w:lvl w:ilvl="5" w:tplc="C89237FC">
      <w:start w:val="1"/>
      <w:numFmt w:val="bullet"/>
      <w:lvlText w:val="■"/>
      <w:lvlJc w:val="left"/>
      <w:pPr>
        <w:ind w:left="4320" w:hanging="360"/>
      </w:pPr>
    </w:lvl>
    <w:lvl w:ilvl="6" w:tplc="51A0DC90">
      <w:start w:val="1"/>
      <w:numFmt w:val="bullet"/>
      <w:lvlText w:val="●"/>
      <w:lvlJc w:val="left"/>
      <w:pPr>
        <w:ind w:left="5040" w:hanging="360"/>
      </w:pPr>
    </w:lvl>
    <w:lvl w:ilvl="7" w:tplc="3C1C6AD6">
      <w:start w:val="1"/>
      <w:numFmt w:val="bullet"/>
      <w:lvlText w:val="●"/>
      <w:lvlJc w:val="left"/>
      <w:pPr>
        <w:ind w:left="5760" w:hanging="360"/>
      </w:pPr>
    </w:lvl>
    <w:lvl w:ilvl="8" w:tplc="076AC07C">
      <w:start w:val="1"/>
      <w:numFmt w:val="bullet"/>
      <w:lvlText w:val="●"/>
      <w:lvlJc w:val="left"/>
      <w:pPr>
        <w:ind w:left="6480" w:hanging="360"/>
      </w:pPr>
    </w:lvl>
  </w:abstractNum>
  <w:num w:numId="1" w16cid:durableId="75544578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247"/>
    <w:rsid w:val="00C10917"/>
    <w:rsid w:val="00DA5247"/>
    <w:rsid w:val="00DE5A6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4:docId w14:val="07333EDB"/>
  <w15:docId w15:val="{9552E943-DCB4-7B46-98E6-2497B4D8A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Fuerte1">
    <w:name w:val="Fuerte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style>
  <w:style w:type="character" w:customStyle="1" w:styleId="TextonotapieCar">
    <w:name w:val="Texto nota pie Car"/>
    <w:link w:val="Textonotapie"/>
    <w:uiPriority w:val="99"/>
    <w:semiHidden/>
    <w:unhideWhenUsed/>
    <w:rPr>
      <w:sz w:val="20"/>
      <w:szCs w:val="20"/>
    </w:rPr>
  </w:style>
  <w:style w:type="character" w:styleId="Refdenotaalfinal">
    <w:name w:val="endnote reference"/>
    <w:uiPriority w:val="99"/>
    <w:semiHidden/>
    <w:unhideWhenUsed/>
    <w:rPr>
      <w:vertAlign w:val="superscript"/>
    </w:rPr>
  </w:style>
  <w:style w:type="paragraph" w:styleId="Textonotaalfinal">
    <w:name w:val="endnote text"/>
    <w:link w:val="TextonotaalfinalCar"/>
    <w:uiPriority w:val="99"/>
    <w:semiHidden/>
    <w:unhideWhenUsed/>
  </w:style>
  <w:style w:type="character" w:customStyle="1" w:styleId="TextonotaalfinalCar">
    <w:name w:val="Texto nota al final Car"/>
    <w:link w:val="Textonotaalfinal"/>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5781</Words>
  <Characters>31799</Characters>
  <Application>Microsoft Office Word</Application>
  <DocSecurity>0</DocSecurity>
  <Lines>264</Lines>
  <Paragraphs>75</Paragraphs>
  <ScaleCrop>false</ScaleCrop>
  <Company/>
  <LinksUpToDate>false</LinksUpToDate>
  <CharactersWithSpaces>37505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Marcelo Salas</cp:lastModifiedBy>
  <cp:revision>2</cp:revision>
  <dcterms:created xsi:type="dcterms:W3CDTF">2026-03-10T15:11:00Z</dcterms:created>
  <dcterms:modified xsi:type="dcterms:W3CDTF">2026-03-13T12:35:00Z</dcterms:modified>
</cp:coreProperties>
</file>